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AB3" w:rsidRDefault="005779AB">
      <w:r>
        <w:rPr>
          <w:noProof/>
          <w:lang w:val="en-US"/>
        </w:rPr>
        <w:pict>
          <v:rect id="_x0000_s1089" style="position:absolute;margin-left:40.4pt;margin-top:-49.2pt;width:76.2pt;height:80.8pt;flip:x;z-index:251700224;mso-width-relative:margin;v-text-anchor:bottom" o:regroupid="5" fillcolor="#c0504d" strokecolor="white" strokeweight="1pt">
            <v:shadow color="#d8d8d8" offset="3pt,3pt" offset2="2pt,2pt"/>
            <v:textbox style="mso-next-textbox:#_x0000_s1089">
              <w:txbxContent>
                <w:p w:rsidR="00696AB3" w:rsidRPr="00696AB3" w:rsidRDefault="00696AB3" w:rsidP="00204A3F">
                  <w:pPr>
                    <w:jc w:val="center"/>
                    <w:rPr>
                      <w:color w:val="FFFFFF"/>
                      <w:sz w:val="48"/>
                      <w:szCs w:val="52"/>
                    </w:rPr>
                  </w:pPr>
                  <w:r>
                    <w:rPr>
                      <w:sz w:val="52"/>
                      <w:szCs w:val="52"/>
                      <w:lang w:val="en-US"/>
                    </w:rPr>
                    <w:t>201</w:t>
                  </w:r>
                  <w:r w:rsidR="00204A3F">
                    <w:rPr>
                      <w:sz w:val="52"/>
                      <w:szCs w:val="52"/>
                      <w:lang w:val="en-US"/>
                    </w:rPr>
                    <w:t>7</w:t>
                  </w:r>
                </w:p>
              </w:txbxContent>
            </v:textbox>
          </v:rect>
        </w:pict>
      </w:r>
      <w:r>
        <w:rPr>
          <w:noProof/>
          <w:lang w:val="en-US"/>
        </w:rPr>
        <w:pict>
          <v:rect id="_x0000_s1107" style="position:absolute;margin-left:-71.55pt;margin-top:-78.25pt;width:148.65pt;height:851.45pt;z-index:251652095" fillcolor="#eeece1 [3214]">
            <v:fill color2="#fcfcf9"/>
          </v:rect>
        </w:pict>
      </w:r>
      <w:r>
        <w:rPr>
          <w:noProof/>
          <w:lang w:val="en-US"/>
        </w:rPr>
        <w:pict>
          <v:rect id="_x0000_s1081" style="position:absolute;margin-left:77.1pt;margin-top:-19.25pt;width:413.2pt;height:799.8pt;z-index:251686912;mso-width-relative:margin" o:regroupid="2" filled="f" fillcolor="#737373" strokecolor="white" strokeweight="1pt">
            <v:shadow color="#d8d8d8" offset="3pt,3pt" offset2="2pt,2pt"/>
            <v:textbox style="mso-next-textbox:#_x0000_s1081" inset="18pt,108pt,36pt">
              <w:txbxContent>
                <w:p w:rsidR="00F03B79" w:rsidRPr="00700815" w:rsidRDefault="00700815" w:rsidP="00F03B79">
                  <w:pPr>
                    <w:pStyle w:val="NoSpacing"/>
                    <w:rPr>
                      <w:sz w:val="44"/>
                      <w:szCs w:val="44"/>
                    </w:rPr>
                  </w:pPr>
                  <w:r w:rsidRPr="00700815">
                    <w:rPr>
                      <w:sz w:val="44"/>
                      <w:szCs w:val="44"/>
                    </w:rPr>
                    <w:t xml:space="preserve">The </w:t>
                  </w:r>
                  <w:r w:rsidR="00403F1F">
                    <w:rPr>
                      <w:sz w:val="44"/>
                      <w:szCs w:val="44"/>
                    </w:rPr>
                    <w:t>Annual General Meeting(</w:t>
                  </w:r>
                  <w:r w:rsidRPr="00700815">
                    <w:rPr>
                      <w:sz w:val="44"/>
                      <w:szCs w:val="44"/>
                    </w:rPr>
                    <w:t>AGM</w:t>
                  </w:r>
                  <w:r w:rsidR="00403F1F">
                    <w:rPr>
                      <w:sz w:val="44"/>
                      <w:szCs w:val="44"/>
                    </w:rPr>
                    <w:t>)</w:t>
                  </w:r>
                  <w:r w:rsidRPr="00700815">
                    <w:rPr>
                      <w:sz w:val="44"/>
                      <w:szCs w:val="44"/>
                    </w:rPr>
                    <w:t xml:space="preserve"> – A Practical Insight and Managing Shareholders’ Expectations</w:t>
                  </w:r>
                </w:p>
                <w:p w:rsidR="00696AB3" w:rsidRDefault="00696AB3">
                  <w:pPr>
                    <w:pStyle w:val="NoSpacing"/>
                    <w:rPr>
                      <w:color w:val="FFFFFF"/>
                    </w:rPr>
                  </w:pPr>
                </w:p>
                <w:p w:rsidR="008B4B1E" w:rsidRPr="00696AB3" w:rsidRDefault="008B4B1E">
                  <w:pPr>
                    <w:pStyle w:val="NoSpacing"/>
                    <w:rPr>
                      <w:color w:val="FFFFFF"/>
                    </w:rPr>
                  </w:pPr>
                </w:p>
                <w:p w:rsidR="00696AB3" w:rsidRPr="00696AB3" w:rsidRDefault="00700815" w:rsidP="00700815">
                  <w:pPr>
                    <w:pStyle w:val="NoSpacing"/>
                    <w:jc w:val="both"/>
                    <w:rPr>
                      <w:color w:val="FFFFFF"/>
                    </w:rPr>
                  </w:pPr>
                  <w:r w:rsidRPr="00700815">
                    <w:t xml:space="preserve">The importance of an </w:t>
                  </w:r>
                  <w:r w:rsidR="00403F1F">
                    <w:t>Annual General Meeting(</w:t>
                  </w:r>
                  <w:r w:rsidRPr="00700815">
                    <w:t>AGM</w:t>
                  </w:r>
                  <w:r w:rsidR="00403F1F">
                    <w:t>)</w:t>
                  </w:r>
                  <w:r w:rsidRPr="00700815">
                    <w:t xml:space="preserve"> cannot be overemphasised as it is a statutory requirement and must be held within six months of each financial year end. During this annual meeting, shareholders of a company are given the opportunity to exercise their rights to vote in respect of resolutions governing the affairs of the company. The meeting also serves as a forum/platform for shareholders to engage with Board directors to find out more about the company and raise questions and concerns.</w:t>
                  </w:r>
                </w:p>
              </w:txbxContent>
            </v:textbox>
          </v:rect>
        </w:pict>
      </w:r>
    </w:p>
    <w:p w:rsidR="00696AB3" w:rsidRDefault="00696AB3"/>
    <w:p w:rsidR="00D35263" w:rsidRDefault="005779AB">
      <w:r>
        <w:rPr>
          <w:noProof/>
          <w:lang w:val="en-US"/>
        </w:rPr>
        <w:pict>
          <v:group id="_x0000_s1108" style="position:absolute;margin-left:-55.25pt;margin-top:116.25pt;width:132.5pt;height:322.9pt;z-index:251728896" coordorigin="-25,4271" coordsize="2650,6458">
            <v:rect id="_x0000_s1097" style="position:absolute;left:-25;top:4271;width:1127;height:1615" o:regroupid="9" fillcolor="#c0504d" strokecolor="white [3212]"/>
            <v:rect id="_x0000_s1098" style="position:absolute;left:-25;top:7499;width:1127;height:1615" o:regroupid="9" fillcolor="#c0504d" strokecolor="white [3212]"/>
            <v:rect id="_x0000_s1099" style="position:absolute;left:-25;top:5883;width:1127;height:1615" o:regroupid="9" fillcolor="#95b3d7 [1940]" strokecolor="white [3212]"/>
            <v:rect id="_x0000_s1100" style="position:absolute;left:1105;top:9114;width:1520;height:1615" o:regroupid="9" fillcolor="#c6d9f1 [671]" strokecolor="white [3212]"/>
            <v:rect id="_x0000_s1101" style="position:absolute;left:1105;top:5883;width:1520;height:1615" o:regroupid="9" fillcolor="#c6d9f1 [671]" strokecolor="white [3212]"/>
            <v:rect id="_x0000_s1102" style="position:absolute;left:1105;top:7498;width:1520;height:1615" o:regroupid="9" fillcolor="#95b3d7 [1940]" strokecolor="white [3212]"/>
          </v:group>
        </w:pict>
      </w:r>
      <w:r>
        <w:rPr>
          <w:noProof/>
          <w:lang w:val="en-US"/>
        </w:rPr>
        <w:pict>
          <v:rect id="_x0000_s1103" style="position:absolute;margin-left:456.35pt;margin-top:641.2pt;width:19.05pt;height:19.7pt;flip:y;z-index:251720704;mso-width-relative:margin;v-text-anchor:middle" o:regroupid="8" fillcolor="#ddd8c2 [2894]" strokecolor="white" strokeweight="1pt">
            <v:shadow color="#d8d8d8" offset="3pt,3pt" offset2="2pt,2pt"/>
          </v:rect>
        </w:pict>
      </w:r>
      <w:r>
        <w:rPr>
          <w:noProof/>
          <w:lang w:val="en-US"/>
        </w:rPr>
        <w:pict>
          <v:rect id="_x0000_s1104" style="position:absolute;margin-left:437.3pt;margin-top:660.9pt;width:19.05pt;height:20.35pt;flip:y;z-index:251721728;mso-width-relative:margin;v-text-anchor:middle" o:regroupid="8" fillcolor="#ddd8c2 [2894]" strokecolor="white" strokeweight="1pt">
            <v:shadow color="#d8d8d8" offset="3pt,3pt" offset2="2pt,2pt"/>
          </v:rect>
        </w:pict>
      </w:r>
      <w:r>
        <w:rPr>
          <w:noProof/>
          <w:lang w:val="en-US"/>
        </w:rPr>
        <w:pict>
          <v:rect id="_x0000_s1093" style="position:absolute;margin-left:437.3pt;margin-top:641.2pt;width:19.05pt;height:20.35pt;flip:y;z-index:251719680;mso-width-relative:margin;v-text-anchor:middle" o:regroupid="8" fillcolor="#c0504d" strokecolor="white" strokeweight="1pt">
            <v:shadow color="#d8d8d8" offset="3pt,3pt" offset2="2pt,2pt"/>
          </v:rect>
        </w:pict>
      </w:r>
      <w:r w:rsidR="00696AB3">
        <w:br w:type="page"/>
      </w:r>
    </w:p>
    <w:p w:rsidR="003F6F40" w:rsidRDefault="005779AB">
      <w:r w:rsidRPr="005779AB">
        <w:rPr>
          <w:rFonts w:asciiTheme="minorHAnsi" w:hAnsiTheme="minorHAnsi"/>
          <w:noProof/>
          <w:lang w:val="en-US"/>
        </w:rPr>
        <w:lastRenderedPageBreak/>
        <w:pict>
          <v:roundrect id="_x0000_s1048" style="position:absolute;margin-left:251.75pt;margin-top:8.65pt;width:150.55pt;height:23.4pt;z-index:-251654144" arcsize="10923f">
            <v:shadow on="t" offset="3pt" offset2="2pt"/>
            <v:textbox>
              <w:txbxContent>
                <w:p w:rsidR="00B374FE" w:rsidRPr="00B374FE" w:rsidRDefault="009F2E1F">
                  <w:pPr>
                    <w:rPr>
                      <w:rFonts w:asciiTheme="minorHAnsi" w:hAnsiTheme="minorHAnsi"/>
                    </w:rPr>
                  </w:pPr>
                  <w:r>
                    <w:rPr>
                      <w:rFonts w:asciiTheme="minorHAnsi" w:hAnsiTheme="minorHAnsi"/>
                    </w:rPr>
                    <w:t>TARGET AUDIENCE</w:t>
                  </w:r>
                </w:p>
              </w:txbxContent>
            </v:textbox>
          </v:roundrect>
        </w:pict>
      </w:r>
      <w:r w:rsidRPr="005779AB">
        <w:rPr>
          <w:rFonts w:asciiTheme="minorHAnsi" w:hAnsiTheme="minorHAnsi"/>
          <w:noProof/>
          <w:lang w:val="en-US"/>
        </w:rPr>
        <w:pict>
          <v:roundrect id="_x0000_s1046" style="position:absolute;margin-left:-6.8pt;margin-top:8.65pt;width:150.55pt;height:23.4pt;z-index:-251656192" arcsize="10923f">
            <v:shadow on="t" offset="3pt" offset2="2pt"/>
            <v:textbox>
              <w:txbxContent>
                <w:p w:rsidR="00B93281" w:rsidRPr="00B93281" w:rsidRDefault="00342A8B">
                  <w:pPr>
                    <w:rPr>
                      <w:rFonts w:asciiTheme="minorHAnsi" w:hAnsiTheme="minorHAnsi"/>
                    </w:rPr>
                  </w:pPr>
                  <w:r>
                    <w:rPr>
                      <w:rFonts w:asciiTheme="minorHAnsi" w:hAnsiTheme="minorHAnsi"/>
                    </w:rPr>
                    <w:t>COURSE OBJECTIVE</w:t>
                  </w:r>
                </w:p>
              </w:txbxContent>
            </v:textbox>
          </v:roundrect>
        </w:pict>
      </w:r>
    </w:p>
    <w:p w:rsidR="00B26841" w:rsidRPr="00B26841" w:rsidRDefault="00B26841" w:rsidP="003F6F40">
      <w:pPr>
        <w:rPr>
          <w:rFonts w:asciiTheme="minorHAnsi" w:hAnsiTheme="minorHAnsi"/>
        </w:rPr>
        <w:sectPr w:rsidR="00B26841" w:rsidRPr="00B26841" w:rsidSect="00086C2F">
          <w:headerReference w:type="even" r:id="rId8"/>
          <w:headerReference w:type="default" r:id="rId9"/>
          <w:footerReference w:type="default" r:id="rId10"/>
          <w:headerReference w:type="first" r:id="rId11"/>
          <w:footerReference w:type="first" r:id="rId12"/>
          <w:pgSz w:w="11906" w:h="16838" w:code="9"/>
          <w:pgMar w:top="1440" w:right="1080" w:bottom="1440" w:left="1080" w:header="0" w:footer="0" w:gutter="0"/>
          <w:pgBorders w:offsetFrom="page">
            <w:top w:val="single" w:sz="4" w:space="24" w:color="auto"/>
            <w:left w:val="single" w:sz="4" w:space="24" w:color="auto"/>
            <w:bottom w:val="single" w:sz="4" w:space="24" w:color="auto"/>
            <w:right w:val="single" w:sz="4" w:space="24" w:color="auto"/>
          </w:pgBorders>
          <w:cols w:sep="1" w:space="720"/>
          <w:titlePg/>
          <w:docGrid w:linePitch="299"/>
        </w:sectPr>
      </w:pPr>
    </w:p>
    <w:p w:rsidR="003F6F40" w:rsidRDefault="003F6F40" w:rsidP="003F6F40">
      <w:pPr>
        <w:rPr>
          <w:rFonts w:asciiTheme="minorHAnsi" w:hAnsiTheme="minorHAnsi"/>
        </w:rPr>
      </w:pPr>
    </w:p>
    <w:p w:rsidR="00B93281" w:rsidRPr="00B26841" w:rsidRDefault="00B93281" w:rsidP="003F6F40">
      <w:pPr>
        <w:rPr>
          <w:rFonts w:asciiTheme="minorHAnsi" w:hAnsiTheme="minorHAnsi"/>
        </w:rPr>
      </w:pPr>
    </w:p>
    <w:p w:rsidR="00F16120" w:rsidRDefault="00342A8B" w:rsidP="00342A8B">
      <w:pPr>
        <w:jc w:val="both"/>
        <w:rPr>
          <w:rFonts w:asciiTheme="minorHAnsi" w:hAnsiTheme="minorHAnsi"/>
          <w:sz w:val="20"/>
        </w:rPr>
      </w:pPr>
      <w:r w:rsidRPr="00342A8B">
        <w:rPr>
          <w:rFonts w:asciiTheme="minorHAnsi" w:hAnsiTheme="minorHAnsi"/>
          <w:sz w:val="20"/>
        </w:rPr>
        <w:t>The topic is designed to provide a practical and invaluable insight into the conduct of Annual General Meetings (“AGM”) and related matters.</w:t>
      </w:r>
    </w:p>
    <w:p w:rsidR="00F16120" w:rsidRDefault="00342A8B" w:rsidP="00342A8B">
      <w:pPr>
        <w:jc w:val="both"/>
        <w:rPr>
          <w:rFonts w:asciiTheme="minorHAnsi" w:hAnsiTheme="minorHAnsi"/>
          <w:sz w:val="20"/>
        </w:rPr>
      </w:pPr>
      <w:r w:rsidRPr="00342A8B">
        <w:rPr>
          <w:rFonts w:asciiTheme="minorHAnsi" w:hAnsiTheme="minorHAnsi"/>
          <w:sz w:val="20"/>
        </w:rPr>
        <w:t>The importance of an AGM cannot be overemphasised as it is a statutory requirement and must be held within six months of each financial year end. During this annual meeting, shareholders of a company are given the opportunity to exercise their rights to vote in respect of resolutions governing the affairs of the company. The meeting also serves as a forum/platform for shareholders to engage with Board directors to find out more about the company and raise questions and concerns.</w:t>
      </w:r>
    </w:p>
    <w:p w:rsidR="00F16120" w:rsidRDefault="00342A8B" w:rsidP="00342A8B">
      <w:pPr>
        <w:jc w:val="both"/>
        <w:rPr>
          <w:rFonts w:asciiTheme="minorHAnsi" w:hAnsiTheme="minorHAnsi"/>
          <w:sz w:val="20"/>
        </w:rPr>
      </w:pPr>
      <w:r w:rsidRPr="00342A8B">
        <w:rPr>
          <w:rFonts w:asciiTheme="minorHAnsi" w:hAnsiTheme="minorHAnsi"/>
          <w:sz w:val="20"/>
        </w:rPr>
        <w:t>This event will cover, among others, the requirements and rules governing/guiding AGMs and related matters, shareholders’ rights, observations at AGMs, practices that need to be addressed and good practices. As AGM represents a significant element of investor relations, it is, therefore, important for the PLC to manage shareholders’ expectations well and in this regard, it pays to anticipate and understand the type of questions and concerns shareholders are likely to raise at the AGM.</w:t>
      </w:r>
    </w:p>
    <w:p w:rsidR="00342A8B" w:rsidRDefault="00342A8B" w:rsidP="00342A8B">
      <w:pPr>
        <w:jc w:val="both"/>
        <w:rPr>
          <w:rFonts w:asciiTheme="minorHAnsi" w:hAnsiTheme="minorHAnsi"/>
          <w:sz w:val="20"/>
        </w:rPr>
      </w:pPr>
      <w:r w:rsidRPr="00342A8B">
        <w:rPr>
          <w:rFonts w:asciiTheme="minorHAnsi" w:hAnsiTheme="minorHAnsi"/>
          <w:sz w:val="20"/>
        </w:rPr>
        <w:t>After this workshop, you will not only have a better insight into what exactly happened at an AGM and what to anticipate and expect but more importantly how to manage shareholders’ expectations and the challenges.</w:t>
      </w:r>
    </w:p>
    <w:p w:rsidR="00342A8B" w:rsidRDefault="00342A8B" w:rsidP="003F6F40">
      <w:pPr>
        <w:rPr>
          <w:rFonts w:asciiTheme="minorHAnsi" w:hAnsiTheme="minorHAnsi"/>
          <w:sz w:val="20"/>
        </w:rPr>
      </w:pPr>
    </w:p>
    <w:p w:rsidR="00F03B79" w:rsidRDefault="005779AB" w:rsidP="003F6F40">
      <w:pPr>
        <w:rPr>
          <w:rFonts w:asciiTheme="minorHAnsi" w:hAnsiTheme="minorHAnsi"/>
          <w:sz w:val="20"/>
        </w:rPr>
      </w:pPr>
      <w:r w:rsidRPr="005779AB">
        <w:rPr>
          <w:rFonts w:asciiTheme="minorHAnsi" w:hAnsiTheme="minorHAnsi"/>
          <w:noProof/>
          <w:lang w:val="en-US"/>
        </w:rPr>
        <w:pict>
          <v:roundrect id="_x0000_s1049" style="position:absolute;margin-left:-6.8pt;margin-top:5.5pt;width:150.55pt;height:23.4pt;z-index:-251653120" arcsize="10923f">
            <v:shadow on="t" offset="3pt" offset2="2pt"/>
            <v:textbox>
              <w:txbxContent>
                <w:p w:rsidR="00B93281" w:rsidRPr="00B93281" w:rsidRDefault="00342A8B">
                  <w:pPr>
                    <w:rPr>
                      <w:rFonts w:asciiTheme="minorHAnsi" w:hAnsiTheme="minorHAnsi"/>
                    </w:rPr>
                  </w:pPr>
                  <w:r>
                    <w:rPr>
                      <w:rFonts w:asciiTheme="minorHAnsi" w:hAnsiTheme="minorHAnsi"/>
                    </w:rPr>
                    <w:t>COURSE CONTENT</w:t>
                  </w:r>
                </w:p>
              </w:txbxContent>
            </v:textbox>
          </v:roundrect>
        </w:pict>
      </w:r>
    </w:p>
    <w:p w:rsidR="00F03B79" w:rsidRPr="00B26841" w:rsidRDefault="00F03B79" w:rsidP="003F6F40">
      <w:pPr>
        <w:rPr>
          <w:rFonts w:asciiTheme="minorHAnsi" w:hAnsiTheme="minorHAnsi"/>
        </w:rPr>
      </w:pPr>
    </w:p>
    <w:p w:rsidR="00F83557" w:rsidRPr="00F83557" w:rsidRDefault="00F83557" w:rsidP="00F83557">
      <w:pPr>
        <w:rPr>
          <w:rFonts w:asciiTheme="minorHAnsi" w:hAnsiTheme="minorHAnsi"/>
        </w:rPr>
      </w:pPr>
    </w:p>
    <w:p w:rsidR="00342A8B" w:rsidRPr="00204A3F" w:rsidRDefault="00342A8B" w:rsidP="00F83557">
      <w:pPr>
        <w:pStyle w:val="ListParagraph"/>
        <w:numPr>
          <w:ilvl w:val="0"/>
          <w:numId w:val="15"/>
        </w:numPr>
        <w:spacing w:after="0" w:line="240" w:lineRule="auto"/>
        <w:ind w:left="284" w:hanging="284"/>
        <w:jc w:val="both"/>
        <w:rPr>
          <w:rFonts w:asciiTheme="minorHAnsi" w:hAnsiTheme="minorHAnsi"/>
          <w:sz w:val="20"/>
          <w:szCs w:val="20"/>
        </w:rPr>
      </w:pPr>
      <w:r w:rsidRPr="00204A3F">
        <w:rPr>
          <w:rFonts w:asciiTheme="minorHAnsi" w:hAnsiTheme="minorHAnsi"/>
          <w:sz w:val="20"/>
          <w:szCs w:val="20"/>
        </w:rPr>
        <w:t xml:space="preserve">AGM – What, Why and When? </w:t>
      </w:r>
    </w:p>
    <w:p w:rsidR="00342A8B" w:rsidRPr="00204A3F" w:rsidRDefault="00342A8B" w:rsidP="00F83557">
      <w:pPr>
        <w:pStyle w:val="ListParagraph"/>
        <w:numPr>
          <w:ilvl w:val="0"/>
          <w:numId w:val="15"/>
        </w:numPr>
        <w:spacing w:after="0" w:line="240" w:lineRule="auto"/>
        <w:ind w:left="284" w:hanging="284"/>
        <w:jc w:val="both"/>
        <w:rPr>
          <w:rFonts w:asciiTheme="minorHAnsi" w:hAnsiTheme="minorHAnsi"/>
          <w:sz w:val="20"/>
          <w:szCs w:val="20"/>
        </w:rPr>
      </w:pPr>
      <w:r w:rsidRPr="00204A3F">
        <w:rPr>
          <w:rFonts w:asciiTheme="minorHAnsi" w:hAnsiTheme="minorHAnsi"/>
          <w:sz w:val="20"/>
          <w:szCs w:val="20"/>
        </w:rPr>
        <w:t>Requirements and Rules Governing/Guiding AGMs and Related Matters (Key Items)</w:t>
      </w:r>
    </w:p>
    <w:p w:rsidR="00342A8B" w:rsidRPr="00204A3F" w:rsidRDefault="00342A8B" w:rsidP="00F83557">
      <w:pPr>
        <w:pStyle w:val="ListParagraph"/>
        <w:numPr>
          <w:ilvl w:val="0"/>
          <w:numId w:val="15"/>
        </w:numPr>
        <w:spacing w:after="0" w:line="240" w:lineRule="auto"/>
        <w:ind w:left="284" w:hanging="284"/>
        <w:jc w:val="both"/>
        <w:rPr>
          <w:rFonts w:asciiTheme="minorHAnsi" w:hAnsiTheme="minorHAnsi"/>
          <w:sz w:val="20"/>
          <w:szCs w:val="20"/>
        </w:rPr>
      </w:pPr>
      <w:r w:rsidRPr="00204A3F">
        <w:rPr>
          <w:rFonts w:asciiTheme="minorHAnsi" w:hAnsiTheme="minorHAnsi"/>
          <w:sz w:val="20"/>
          <w:szCs w:val="20"/>
        </w:rPr>
        <w:t xml:space="preserve">Shareholders’ Rights </w:t>
      </w:r>
    </w:p>
    <w:p w:rsidR="00342A8B" w:rsidRPr="00204A3F" w:rsidRDefault="00342A8B" w:rsidP="00F83557">
      <w:pPr>
        <w:pStyle w:val="ListParagraph"/>
        <w:numPr>
          <w:ilvl w:val="0"/>
          <w:numId w:val="15"/>
        </w:numPr>
        <w:spacing w:after="0" w:line="240" w:lineRule="auto"/>
        <w:ind w:left="284" w:hanging="284"/>
        <w:jc w:val="both"/>
        <w:rPr>
          <w:rFonts w:asciiTheme="minorHAnsi" w:hAnsiTheme="minorHAnsi"/>
          <w:sz w:val="20"/>
          <w:szCs w:val="20"/>
        </w:rPr>
      </w:pPr>
      <w:r w:rsidRPr="00204A3F">
        <w:rPr>
          <w:rFonts w:asciiTheme="minorHAnsi" w:hAnsiTheme="minorHAnsi"/>
          <w:sz w:val="20"/>
          <w:szCs w:val="20"/>
        </w:rPr>
        <w:t>Typical Resolutions and Issues at AGMs</w:t>
      </w:r>
    </w:p>
    <w:p w:rsidR="00342A8B" w:rsidRPr="00204A3F" w:rsidRDefault="00342A8B" w:rsidP="00F83557">
      <w:pPr>
        <w:pStyle w:val="ListParagraph"/>
        <w:numPr>
          <w:ilvl w:val="0"/>
          <w:numId w:val="15"/>
        </w:numPr>
        <w:spacing w:after="0" w:line="240" w:lineRule="auto"/>
        <w:ind w:left="284" w:hanging="284"/>
        <w:jc w:val="both"/>
        <w:rPr>
          <w:rFonts w:asciiTheme="minorHAnsi" w:hAnsiTheme="minorHAnsi"/>
          <w:sz w:val="20"/>
          <w:szCs w:val="20"/>
        </w:rPr>
      </w:pPr>
      <w:r w:rsidRPr="00204A3F">
        <w:rPr>
          <w:rFonts w:asciiTheme="minorHAnsi" w:hAnsiTheme="minorHAnsi"/>
          <w:sz w:val="20"/>
          <w:szCs w:val="20"/>
        </w:rPr>
        <w:t>Observations and Practices that need to be Addressed (Cases)</w:t>
      </w:r>
    </w:p>
    <w:p w:rsidR="00342A8B" w:rsidRPr="00204A3F" w:rsidRDefault="00342A8B" w:rsidP="00F83557">
      <w:pPr>
        <w:pStyle w:val="ListParagraph"/>
        <w:numPr>
          <w:ilvl w:val="0"/>
          <w:numId w:val="15"/>
        </w:numPr>
        <w:spacing w:after="0" w:line="240" w:lineRule="auto"/>
        <w:ind w:left="284" w:hanging="284"/>
        <w:jc w:val="both"/>
        <w:rPr>
          <w:rFonts w:asciiTheme="minorHAnsi" w:hAnsiTheme="minorHAnsi"/>
          <w:sz w:val="20"/>
          <w:szCs w:val="20"/>
        </w:rPr>
      </w:pPr>
      <w:r w:rsidRPr="00204A3F">
        <w:rPr>
          <w:rFonts w:asciiTheme="minorHAnsi" w:hAnsiTheme="minorHAnsi"/>
          <w:sz w:val="20"/>
          <w:szCs w:val="20"/>
        </w:rPr>
        <w:t>Assessment Results based on Malaysia-ASEAN CG Report 2014 by MSWG</w:t>
      </w:r>
    </w:p>
    <w:p w:rsidR="00342A8B" w:rsidRPr="00204A3F" w:rsidRDefault="00342A8B" w:rsidP="00F83557">
      <w:pPr>
        <w:pStyle w:val="ListParagraph"/>
        <w:numPr>
          <w:ilvl w:val="0"/>
          <w:numId w:val="15"/>
        </w:numPr>
        <w:spacing w:after="0" w:line="240" w:lineRule="auto"/>
        <w:ind w:left="284" w:hanging="284"/>
        <w:jc w:val="both"/>
        <w:rPr>
          <w:rFonts w:asciiTheme="minorHAnsi" w:hAnsiTheme="minorHAnsi"/>
          <w:sz w:val="20"/>
          <w:szCs w:val="20"/>
        </w:rPr>
      </w:pPr>
      <w:r w:rsidRPr="00204A3F">
        <w:rPr>
          <w:rFonts w:asciiTheme="minorHAnsi" w:hAnsiTheme="minorHAnsi"/>
          <w:sz w:val="20"/>
          <w:szCs w:val="20"/>
        </w:rPr>
        <w:t>Likely Questions / Concerns raised at AGMs</w:t>
      </w:r>
    </w:p>
    <w:p w:rsidR="00342A8B" w:rsidRPr="00204A3F" w:rsidRDefault="00342A8B" w:rsidP="00F83557">
      <w:pPr>
        <w:pStyle w:val="ListParagraph"/>
        <w:numPr>
          <w:ilvl w:val="0"/>
          <w:numId w:val="15"/>
        </w:numPr>
        <w:spacing w:after="0" w:line="240" w:lineRule="auto"/>
        <w:ind w:left="284" w:hanging="284"/>
        <w:jc w:val="both"/>
        <w:rPr>
          <w:rFonts w:asciiTheme="minorHAnsi" w:hAnsiTheme="minorHAnsi"/>
          <w:sz w:val="20"/>
          <w:szCs w:val="20"/>
        </w:rPr>
      </w:pPr>
      <w:r w:rsidRPr="00204A3F">
        <w:rPr>
          <w:rFonts w:asciiTheme="minorHAnsi" w:hAnsiTheme="minorHAnsi"/>
          <w:sz w:val="20"/>
          <w:szCs w:val="20"/>
        </w:rPr>
        <w:t>AGMs and Related Matters – Good Practices</w:t>
      </w:r>
    </w:p>
    <w:p w:rsidR="003F6F40" w:rsidRPr="00204A3F" w:rsidRDefault="00342A8B" w:rsidP="00F83557">
      <w:pPr>
        <w:pStyle w:val="ListParagraph"/>
        <w:numPr>
          <w:ilvl w:val="0"/>
          <w:numId w:val="15"/>
        </w:numPr>
        <w:spacing w:after="0" w:line="240" w:lineRule="auto"/>
        <w:ind w:left="284" w:hanging="284"/>
        <w:jc w:val="both"/>
        <w:rPr>
          <w:rFonts w:asciiTheme="minorHAnsi" w:hAnsiTheme="minorHAnsi"/>
          <w:sz w:val="20"/>
          <w:szCs w:val="20"/>
        </w:rPr>
      </w:pPr>
      <w:r w:rsidRPr="00204A3F">
        <w:rPr>
          <w:rFonts w:asciiTheme="minorHAnsi" w:hAnsiTheme="minorHAnsi"/>
          <w:sz w:val="20"/>
          <w:szCs w:val="20"/>
        </w:rPr>
        <w:t>Tips for Preparing for the AGM</w:t>
      </w:r>
    </w:p>
    <w:p w:rsidR="00F03B79" w:rsidRDefault="00F03B79" w:rsidP="00B374FE">
      <w:pPr>
        <w:rPr>
          <w:rFonts w:asciiTheme="minorHAnsi" w:hAnsiTheme="minorHAnsi"/>
          <w:sz w:val="20"/>
        </w:rPr>
      </w:pPr>
    </w:p>
    <w:p w:rsidR="00F03B79" w:rsidRDefault="00F03B79" w:rsidP="00B374FE">
      <w:pPr>
        <w:rPr>
          <w:rFonts w:asciiTheme="minorHAnsi" w:hAnsiTheme="minorHAnsi"/>
          <w:sz w:val="20"/>
        </w:rPr>
      </w:pPr>
    </w:p>
    <w:p w:rsidR="009F2E1F" w:rsidRDefault="009F2E1F" w:rsidP="00B374FE">
      <w:pPr>
        <w:rPr>
          <w:rFonts w:asciiTheme="minorHAnsi" w:hAnsiTheme="minorHAnsi"/>
          <w:sz w:val="20"/>
        </w:rPr>
      </w:pPr>
    </w:p>
    <w:p w:rsidR="003F6F40" w:rsidRPr="00BC0460" w:rsidRDefault="009F2E1F" w:rsidP="00F16120">
      <w:pPr>
        <w:jc w:val="both"/>
        <w:rPr>
          <w:rFonts w:asciiTheme="minorHAnsi" w:hAnsiTheme="minorHAnsi"/>
          <w:sz w:val="20"/>
        </w:rPr>
      </w:pPr>
      <w:r w:rsidRPr="009F2E1F">
        <w:rPr>
          <w:rFonts w:asciiTheme="minorHAnsi" w:hAnsiTheme="minorHAnsi"/>
          <w:sz w:val="20"/>
        </w:rPr>
        <w:t>Board Directors, CEOs, CFOs and senior management personnel; company secretaries, personnel and officers involved in AGMs and related matters, and business writers / journalists and officers involved in investor relations.</w:t>
      </w:r>
    </w:p>
    <w:p w:rsidR="00B374FE" w:rsidRDefault="00B374FE" w:rsidP="003F6F40">
      <w:pPr>
        <w:rPr>
          <w:rFonts w:asciiTheme="minorHAnsi" w:hAnsiTheme="minorHAnsi"/>
        </w:rPr>
      </w:pPr>
    </w:p>
    <w:p w:rsidR="00B374FE" w:rsidRDefault="005779AB" w:rsidP="003F6F40">
      <w:pPr>
        <w:rPr>
          <w:rFonts w:asciiTheme="minorHAnsi" w:hAnsiTheme="minorHAnsi"/>
        </w:rPr>
      </w:pPr>
      <w:r>
        <w:rPr>
          <w:rFonts w:asciiTheme="minorHAnsi" w:hAnsiTheme="minorHAnsi"/>
          <w:noProof/>
          <w:lang w:val="en-US"/>
        </w:rPr>
        <w:pict>
          <v:roundrect id="_x0000_s1050" style="position:absolute;margin-left:-4.4pt;margin-top:.35pt;width:150.55pt;height:23.4pt;z-index:-251652096" arcsize="10923f">
            <v:shadow on="t" offset="3pt" offset2="2pt"/>
            <v:textbox>
              <w:txbxContent>
                <w:p w:rsidR="00B374FE" w:rsidRPr="00B374FE" w:rsidRDefault="009F2E1F" w:rsidP="00B374FE">
                  <w:pPr>
                    <w:rPr>
                      <w:rFonts w:asciiTheme="minorHAnsi" w:hAnsiTheme="minorHAnsi"/>
                    </w:rPr>
                  </w:pPr>
                  <w:r>
                    <w:rPr>
                      <w:rFonts w:asciiTheme="minorHAnsi" w:hAnsiTheme="minorHAnsi"/>
                    </w:rPr>
                    <w:t>METHODOLOGY</w:t>
                  </w:r>
                </w:p>
              </w:txbxContent>
            </v:textbox>
          </v:roundrect>
        </w:pict>
      </w:r>
    </w:p>
    <w:p w:rsidR="003F6F40" w:rsidRPr="00B26841" w:rsidRDefault="003F6F40" w:rsidP="003F6F40">
      <w:pPr>
        <w:rPr>
          <w:rFonts w:asciiTheme="minorHAnsi" w:hAnsiTheme="minorHAnsi"/>
        </w:rPr>
      </w:pPr>
    </w:p>
    <w:p w:rsidR="00F83557" w:rsidRDefault="00F83557" w:rsidP="00F16120">
      <w:pPr>
        <w:jc w:val="both"/>
        <w:rPr>
          <w:rFonts w:asciiTheme="minorHAnsi" w:hAnsiTheme="minorHAnsi"/>
          <w:sz w:val="20"/>
        </w:rPr>
      </w:pPr>
    </w:p>
    <w:p w:rsidR="00B26841" w:rsidRDefault="009F2E1F" w:rsidP="00F16120">
      <w:pPr>
        <w:jc w:val="both"/>
        <w:rPr>
          <w:rFonts w:asciiTheme="minorHAnsi" w:hAnsiTheme="minorHAnsi"/>
          <w:sz w:val="20"/>
        </w:rPr>
      </w:pPr>
      <w:r w:rsidRPr="009F2E1F">
        <w:rPr>
          <w:rFonts w:asciiTheme="minorHAnsi" w:hAnsiTheme="minorHAnsi"/>
          <w:sz w:val="20"/>
        </w:rPr>
        <w:t>Lectures facilitated by PowerPoint presentation and real examples and supplemented with videos, wherever applicable.</w:t>
      </w:r>
    </w:p>
    <w:p w:rsidR="009F2E1F" w:rsidRDefault="009F2E1F">
      <w:pPr>
        <w:rPr>
          <w:rFonts w:asciiTheme="minorHAnsi" w:hAnsiTheme="minorHAnsi"/>
          <w:sz w:val="20"/>
        </w:rPr>
      </w:pPr>
    </w:p>
    <w:p w:rsidR="009F2E1F" w:rsidRDefault="005779AB">
      <w:pPr>
        <w:rPr>
          <w:rFonts w:asciiTheme="minorHAnsi" w:hAnsiTheme="minorHAnsi"/>
        </w:rPr>
      </w:pPr>
      <w:r>
        <w:rPr>
          <w:rFonts w:asciiTheme="minorHAnsi" w:hAnsiTheme="minorHAnsi"/>
          <w:noProof/>
          <w:lang w:val="en-US"/>
        </w:rPr>
        <w:pict>
          <v:roundrect id="_x0000_s1051" style="position:absolute;margin-left:-6.05pt;margin-top:3.8pt;width:150.55pt;height:23.4pt;z-index:-251651072" arcsize="10923f">
            <v:shadow on="t" offset="3pt" offset2="2pt"/>
            <v:textbox>
              <w:txbxContent>
                <w:p w:rsidR="00B374FE" w:rsidRPr="00B374FE" w:rsidRDefault="00B374FE">
                  <w:pPr>
                    <w:rPr>
                      <w:rFonts w:asciiTheme="minorHAnsi" w:hAnsiTheme="minorHAnsi"/>
                    </w:rPr>
                  </w:pPr>
                  <w:r w:rsidRPr="00B374FE">
                    <w:rPr>
                      <w:rFonts w:asciiTheme="minorHAnsi" w:hAnsiTheme="minorHAnsi"/>
                    </w:rPr>
                    <w:t>ADMINISTRATIVE DETAILS</w:t>
                  </w:r>
                </w:p>
              </w:txbxContent>
            </v:textbox>
          </v:roundrect>
        </w:pict>
      </w:r>
    </w:p>
    <w:p w:rsidR="00B26841" w:rsidRDefault="00B26841">
      <w:pPr>
        <w:rPr>
          <w:rFonts w:asciiTheme="minorHAnsi" w:hAnsiTheme="minorHAnsi"/>
        </w:rPr>
      </w:pPr>
    </w:p>
    <w:p w:rsidR="00B374FE" w:rsidRDefault="00B374FE">
      <w:pPr>
        <w:rPr>
          <w:rFonts w:asciiTheme="minorHAnsi" w:hAnsiTheme="minorHAnsi"/>
        </w:rPr>
      </w:pPr>
    </w:p>
    <w:tbl>
      <w:tblPr>
        <w:tblW w:w="5095" w:type="dxa"/>
        <w:shd w:val="pct10" w:color="auto" w:fill="auto"/>
        <w:tblLayout w:type="fixed"/>
        <w:tblLook w:val="04A0"/>
      </w:tblPr>
      <w:tblGrid>
        <w:gridCol w:w="1723"/>
        <w:gridCol w:w="292"/>
        <w:gridCol w:w="3080"/>
      </w:tblGrid>
      <w:tr w:rsidR="00D90843" w:rsidRPr="00D90843" w:rsidTr="00C20F39">
        <w:trPr>
          <w:trHeight w:val="293"/>
        </w:trPr>
        <w:tc>
          <w:tcPr>
            <w:tcW w:w="1723"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DATE</w:t>
            </w:r>
          </w:p>
        </w:tc>
        <w:tc>
          <w:tcPr>
            <w:tcW w:w="292"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3080" w:type="dxa"/>
            <w:shd w:val="pct10" w:color="auto" w:fill="auto"/>
            <w:vAlign w:val="center"/>
          </w:tcPr>
          <w:p w:rsidR="00086C2F" w:rsidRDefault="00086C2F" w:rsidP="00204A3F">
            <w:pPr>
              <w:ind w:right="308"/>
              <w:rPr>
                <w:rFonts w:asciiTheme="minorHAnsi" w:hAnsiTheme="minorHAnsi" w:cs="Segoe UI Semibold"/>
                <w:sz w:val="20"/>
              </w:rPr>
            </w:pPr>
            <w:r>
              <w:rPr>
                <w:rFonts w:asciiTheme="minorHAnsi" w:hAnsiTheme="minorHAnsi" w:cs="Segoe UI Semibold"/>
                <w:sz w:val="20"/>
              </w:rPr>
              <w:t xml:space="preserve">13 Feb / 13 Mar / 03 Apr </w:t>
            </w:r>
          </w:p>
          <w:p w:rsidR="00D90843" w:rsidRPr="00D90843" w:rsidRDefault="00204A3F" w:rsidP="00204A3F">
            <w:pPr>
              <w:ind w:right="308"/>
              <w:rPr>
                <w:rFonts w:asciiTheme="minorHAnsi" w:hAnsiTheme="minorHAnsi" w:cs="Segoe UI Semibold"/>
                <w:sz w:val="20"/>
              </w:rPr>
            </w:pPr>
            <w:r>
              <w:rPr>
                <w:rFonts w:asciiTheme="minorHAnsi" w:hAnsiTheme="minorHAnsi" w:cs="Segoe UI Semibold"/>
                <w:sz w:val="20"/>
              </w:rPr>
              <w:t xml:space="preserve"> 22 May / 19 Jun 2017</w:t>
            </w:r>
          </w:p>
        </w:tc>
      </w:tr>
      <w:tr w:rsidR="00D90843" w:rsidRPr="00D90843" w:rsidTr="00C20F39">
        <w:trPr>
          <w:trHeight w:val="293"/>
        </w:trPr>
        <w:tc>
          <w:tcPr>
            <w:tcW w:w="1723" w:type="dxa"/>
            <w:shd w:val="clear"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DURATION</w:t>
            </w:r>
          </w:p>
        </w:tc>
        <w:tc>
          <w:tcPr>
            <w:tcW w:w="292" w:type="dxa"/>
            <w:shd w:val="clear"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3080" w:type="dxa"/>
            <w:shd w:val="clear" w:color="auto" w:fill="auto"/>
            <w:vAlign w:val="center"/>
          </w:tcPr>
          <w:p w:rsidR="00D90843" w:rsidRPr="00D90843" w:rsidRDefault="00B374FE" w:rsidP="00B374FE">
            <w:pPr>
              <w:ind w:right="308"/>
              <w:jc w:val="both"/>
              <w:rPr>
                <w:rFonts w:asciiTheme="minorHAnsi" w:hAnsiTheme="minorHAnsi" w:cs="Segoe UI Semibold"/>
                <w:sz w:val="20"/>
              </w:rPr>
            </w:pPr>
            <w:r>
              <w:rPr>
                <w:rFonts w:asciiTheme="minorHAnsi" w:hAnsiTheme="minorHAnsi" w:cs="Segoe UI Semibold"/>
                <w:sz w:val="20"/>
              </w:rPr>
              <w:t>Half-day</w:t>
            </w:r>
            <w:r w:rsidR="00192589">
              <w:rPr>
                <w:rFonts w:asciiTheme="minorHAnsi" w:hAnsiTheme="minorHAnsi" w:cs="Segoe UI Semibold"/>
                <w:sz w:val="20"/>
              </w:rPr>
              <w:t xml:space="preserve"> </w:t>
            </w:r>
            <w:r>
              <w:rPr>
                <w:rFonts w:asciiTheme="minorHAnsi" w:hAnsiTheme="minorHAnsi" w:cs="Segoe UI Semibold"/>
                <w:sz w:val="20"/>
              </w:rPr>
              <w:t>(</w:t>
            </w:r>
            <w:r w:rsidR="000D57B6">
              <w:rPr>
                <w:rFonts w:asciiTheme="minorHAnsi" w:hAnsiTheme="minorHAnsi" w:cs="Segoe UI Semibold"/>
                <w:sz w:val="20"/>
              </w:rPr>
              <w:t>0900 – 1</w:t>
            </w:r>
            <w:r>
              <w:rPr>
                <w:rFonts w:asciiTheme="minorHAnsi" w:hAnsiTheme="minorHAnsi" w:cs="Segoe UI Semibold"/>
                <w:sz w:val="20"/>
              </w:rPr>
              <w:t>3</w:t>
            </w:r>
            <w:r w:rsidR="00D90843" w:rsidRPr="00D90843">
              <w:rPr>
                <w:rFonts w:asciiTheme="minorHAnsi" w:hAnsiTheme="minorHAnsi" w:cs="Segoe UI Semibold"/>
                <w:sz w:val="20"/>
              </w:rPr>
              <w:t>00</w:t>
            </w:r>
            <w:r>
              <w:rPr>
                <w:rFonts w:asciiTheme="minorHAnsi" w:hAnsiTheme="minorHAnsi" w:cs="Segoe UI Semibold"/>
                <w:sz w:val="20"/>
              </w:rPr>
              <w:t>)</w:t>
            </w:r>
          </w:p>
        </w:tc>
      </w:tr>
      <w:tr w:rsidR="00D90843" w:rsidRPr="00D90843" w:rsidTr="00C20F39">
        <w:trPr>
          <w:trHeight w:val="293"/>
        </w:trPr>
        <w:tc>
          <w:tcPr>
            <w:tcW w:w="1723"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VENUE</w:t>
            </w:r>
          </w:p>
        </w:tc>
        <w:tc>
          <w:tcPr>
            <w:tcW w:w="292"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3080" w:type="dxa"/>
            <w:shd w:val="pct10" w:color="auto" w:fill="auto"/>
            <w:vAlign w:val="center"/>
          </w:tcPr>
          <w:p w:rsidR="00D90843" w:rsidRPr="00D90843" w:rsidRDefault="00403F1F" w:rsidP="009F2E1F">
            <w:pPr>
              <w:ind w:right="308"/>
              <w:jc w:val="both"/>
              <w:rPr>
                <w:rFonts w:asciiTheme="minorHAnsi" w:hAnsiTheme="minorHAnsi" w:cs="Segoe UI Semibold"/>
                <w:sz w:val="20"/>
              </w:rPr>
            </w:pPr>
            <w:r>
              <w:rPr>
                <w:rFonts w:asciiTheme="minorHAnsi" w:hAnsiTheme="minorHAnsi" w:cs="Segoe UI Semibold"/>
                <w:sz w:val="20"/>
              </w:rPr>
              <w:t>Hilton Petaling Jaya</w:t>
            </w:r>
          </w:p>
        </w:tc>
      </w:tr>
      <w:tr w:rsidR="00D90843" w:rsidRPr="00D90843" w:rsidTr="00C20F39">
        <w:trPr>
          <w:trHeight w:val="293"/>
        </w:trPr>
        <w:tc>
          <w:tcPr>
            <w:tcW w:w="1723" w:type="dxa"/>
            <w:shd w:val="clear"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FEE</w:t>
            </w:r>
          </w:p>
        </w:tc>
        <w:tc>
          <w:tcPr>
            <w:tcW w:w="292" w:type="dxa"/>
            <w:shd w:val="clear"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3080" w:type="dxa"/>
            <w:shd w:val="clear" w:color="auto" w:fill="auto"/>
            <w:vAlign w:val="center"/>
          </w:tcPr>
          <w:p w:rsidR="00D90843" w:rsidRPr="00D90843" w:rsidRDefault="00D90843" w:rsidP="00192589">
            <w:pPr>
              <w:ind w:right="308"/>
              <w:rPr>
                <w:rFonts w:asciiTheme="minorHAnsi" w:hAnsiTheme="minorHAnsi" w:cs="Segoe UI Semibold"/>
                <w:sz w:val="20"/>
              </w:rPr>
            </w:pPr>
            <w:r w:rsidRPr="00D90843">
              <w:rPr>
                <w:rFonts w:asciiTheme="minorHAnsi" w:hAnsiTheme="minorHAnsi" w:cs="Segoe UI Semibold"/>
                <w:sz w:val="20"/>
              </w:rPr>
              <w:t>RM</w:t>
            </w:r>
            <w:r w:rsidR="001969FF">
              <w:rPr>
                <w:rFonts w:asciiTheme="minorHAnsi" w:hAnsiTheme="minorHAnsi" w:cs="Segoe UI Semibold"/>
                <w:sz w:val="20"/>
              </w:rPr>
              <w:t>932</w:t>
            </w:r>
            <w:r w:rsidRPr="00D90843">
              <w:rPr>
                <w:rFonts w:asciiTheme="minorHAnsi" w:hAnsiTheme="minorHAnsi" w:cs="Segoe UI Semibold"/>
                <w:sz w:val="20"/>
              </w:rPr>
              <w:t>.</w:t>
            </w:r>
            <w:r w:rsidR="001969FF">
              <w:rPr>
                <w:rFonts w:asciiTheme="minorHAnsi" w:hAnsiTheme="minorHAnsi" w:cs="Segoe UI Semibold"/>
                <w:sz w:val="20"/>
              </w:rPr>
              <w:t>8</w:t>
            </w:r>
            <w:r w:rsidRPr="00D90843">
              <w:rPr>
                <w:rFonts w:asciiTheme="minorHAnsi" w:hAnsiTheme="minorHAnsi" w:cs="Segoe UI Semibold"/>
                <w:sz w:val="20"/>
              </w:rPr>
              <w:t>0</w:t>
            </w:r>
            <w:r w:rsidR="00192589">
              <w:rPr>
                <w:rFonts w:asciiTheme="minorHAnsi" w:hAnsiTheme="minorHAnsi" w:cs="Segoe UI Semibold"/>
                <w:sz w:val="20"/>
              </w:rPr>
              <w:t xml:space="preserve"> </w:t>
            </w:r>
            <w:r w:rsidRPr="00D90843">
              <w:rPr>
                <w:rFonts w:asciiTheme="minorHAnsi" w:hAnsiTheme="minorHAnsi" w:cs="Segoe UI Semibold"/>
                <w:bCs/>
                <w:sz w:val="20"/>
              </w:rPr>
              <w:t>(</w:t>
            </w:r>
            <w:r w:rsidR="00403F1F">
              <w:rPr>
                <w:rFonts w:asciiTheme="minorHAnsi" w:hAnsiTheme="minorHAnsi" w:cs="Segoe UI Semibold"/>
                <w:bCs/>
                <w:sz w:val="20"/>
              </w:rPr>
              <w:t xml:space="preserve">inclusive </w:t>
            </w:r>
            <w:r w:rsidR="00C97D66">
              <w:rPr>
                <w:rFonts w:asciiTheme="minorHAnsi" w:hAnsiTheme="minorHAnsi" w:cs="Segoe UI Semibold"/>
                <w:bCs/>
                <w:sz w:val="20"/>
              </w:rPr>
              <w:t>of</w:t>
            </w:r>
            <w:r w:rsidR="00403F1F">
              <w:rPr>
                <w:rFonts w:asciiTheme="minorHAnsi" w:hAnsiTheme="minorHAnsi" w:cs="Segoe UI Semibold"/>
                <w:bCs/>
                <w:sz w:val="20"/>
              </w:rPr>
              <w:t xml:space="preserve"> </w:t>
            </w:r>
            <w:r w:rsidR="000D57B6" w:rsidRPr="000D57B6">
              <w:rPr>
                <w:rFonts w:asciiTheme="minorHAnsi" w:hAnsiTheme="minorHAnsi" w:cs="Segoe UI Semibold"/>
                <w:bCs/>
                <w:sz w:val="20"/>
              </w:rPr>
              <w:t>6% GST</w:t>
            </w:r>
            <w:r w:rsidRPr="00D90843">
              <w:rPr>
                <w:rFonts w:asciiTheme="minorHAnsi" w:hAnsiTheme="minorHAnsi" w:cs="Segoe UI Semibold"/>
                <w:bCs/>
                <w:sz w:val="20"/>
              </w:rPr>
              <w:t>)</w:t>
            </w:r>
          </w:p>
        </w:tc>
      </w:tr>
      <w:tr w:rsidR="00D90843" w:rsidRPr="00D90843" w:rsidTr="00C20F39">
        <w:trPr>
          <w:trHeight w:val="293"/>
        </w:trPr>
        <w:tc>
          <w:tcPr>
            <w:tcW w:w="1723"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PAYMENT</w:t>
            </w:r>
          </w:p>
        </w:tc>
        <w:tc>
          <w:tcPr>
            <w:tcW w:w="292"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3080"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 xml:space="preserve">Cheque is to be made payable to </w:t>
            </w:r>
            <w:r w:rsidRPr="00D90843">
              <w:rPr>
                <w:rFonts w:asciiTheme="minorHAnsi" w:hAnsiTheme="minorHAnsi" w:cs="Segoe UI Semibold"/>
                <w:bCs/>
                <w:color w:val="FF0000"/>
                <w:sz w:val="20"/>
                <w:u w:val="single"/>
              </w:rPr>
              <w:t>BURSATRA SDN. BHD</w:t>
            </w:r>
            <w:r w:rsidRPr="00D90843">
              <w:rPr>
                <w:rFonts w:asciiTheme="minorHAnsi" w:hAnsiTheme="minorHAnsi" w:cs="Segoe UI Semibold"/>
                <w:color w:val="FF0000"/>
                <w:sz w:val="20"/>
              </w:rPr>
              <w:t>.</w:t>
            </w:r>
          </w:p>
        </w:tc>
      </w:tr>
    </w:tbl>
    <w:p w:rsidR="00B26841" w:rsidRDefault="00B26841">
      <w:pPr>
        <w:rPr>
          <w:rFonts w:asciiTheme="minorHAnsi" w:hAnsiTheme="minorHAnsi"/>
        </w:rPr>
      </w:pPr>
    </w:p>
    <w:p w:rsidR="00B26841" w:rsidRDefault="005779AB">
      <w:pPr>
        <w:rPr>
          <w:rFonts w:asciiTheme="minorHAnsi" w:hAnsiTheme="minorHAnsi"/>
        </w:rPr>
      </w:pPr>
      <w:r>
        <w:rPr>
          <w:rFonts w:asciiTheme="minorHAnsi" w:hAnsiTheme="minorHAnsi"/>
          <w:noProof/>
          <w:lang w:val="en-US"/>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140" type="#_x0000_t185" style="position:absolute;margin-left:-3.65pt;margin-top:9.05pt;width:253.6pt;height:78.35pt;z-index:-251567104" filled="t" fillcolor="#ffb9b9">
            <v:fill opacity="29491f"/>
            <v:textbox>
              <w:txbxContent>
                <w:p w:rsidR="0036426E" w:rsidRPr="00BC0460" w:rsidRDefault="0036426E" w:rsidP="0036426E">
                  <w:pPr>
                    <w:ind w:left="284"/>
                    <w:jc w:val="both"/>
                    <w:rPr>
                      <w:rFonts w:asciiTheme="minorHAnsi" w:hAnsiTheme="minorHAnsi"/>
                      <w:i/>
                      <w:sz w:val="20"/>
                    </w:rPr>
                  </w:pPr>
                  <w:r w:rsidRPr="00BC0460">
                    <w:rPr>
                      <w:rFonts w:asciiTheme="minorHAnsi" w:hAnsiTheme="minorHAnsi"/>
                      <w:i/>
                      <w:sz w:val="20"/>
                    </w:rPr>
                    <w:t>Postponement / Cancellation within seven (07) working days prior to the event are subject to a cancellation / postponement fee of 20%. Full amount of the registration fee(s) is chargeable for non-attendance of the participant(s).</w:t>
                  </w:r>
                </w:p>
                <w:p w:rsidR="0036426E" w:rsidRDefault="0036426E" w:rsidP="0036426E"/>
              </w:txbxContent>
            </v:textbox>
          </v:shape>
        </w:pict>
      </w:r>
    </w:p>
    <w:p w:rsidR="00B26841" w:rsidRDefault="00B26841">
      <w:pPr>
        <w:rPr>
          <w:rFonts w:asciiTheme="minorHAnsi" w:hAnsiTheme="minorHAnsi"/>
        </w:rPr>
      </w:pPr>
    </w:p>
    <w:p w:rsidR="00B26841" w:rsidRDefault="00B26841">
      <w:pPr>
        <w:rPr>
          <w:rFonts w:asciiTheme="minorHAnsi" w:hAnsiTheme="minorHAnsi"/>
        </w:rPr>
      </w:pPr>
    </w:p>
    <w:p w:rsidR="00F928D5" w:rsidRDefault="00F928D5">
      <w:pPr>
        <w:rPr>
          <w:rFonts w:asciiTheme="minorHAnsi" w:hAnsiTheme="minorHAnsi"/>
        </w:rPr>
      </w:pPr>
    </w:p>
    <w:p w:rsidR="00F928D5" w:rsidRDefault="00F928D5">
      <w:pPr>
        <w:rPr>
          <w:rFonts w:asciiTheme="minorHAnsi" w:hAnsiTheme="minorHAnsi"/>
        </w:rPr>
      </w:pPr>
    </w:p>
    <w:p w:rsidR="00F928D5" w:rsidRDefault="00F928D5">
      <w:pPr>
        <w:rPr>
          <w:rFonts w:asciiTheme="minorHAnsi" w:hAnsiTheme="minorHAnsi"/>
        </w:rPr>
      </w:pPr>
    </w:p>
    <w:p w:rsidR="00F928D5" w:rsidRDefault="00F928D5">
      <w:pPr>
        <w:rPr>
          <w:rFonts w:asciiTheme="minorHAnsi" w:hAnsiTheme="minorHAnsi"/>
        </w:rPr>
      </w:pPr>
    </w:p>
    <w:p w:rsidR="00F928D5" w:rsidRDefault="00F928D5">
      <w:pPr>
        <w:rPr>
          <w:rFonts w:asciiTheme="minorHAnsi" w:hAnsiTheme="minorHAnsi"/>
        </w:rPr>
      </w:pPr>
    </w:p>
    <w:p w:rsidR="00F83557" w:rsidRDefault="00192589">
      <w:pPr>
        <w:rPr>
          <w:rFonts w:asciiTheme="minorHAnsi" w:hAnsiTheme="minorHAnsi"/>
        </w:rPr>
      </w:pPr>
      <w:r>
        <w:rPr>
          <w:rFonts w:asciiTheme="minorHAnsi" w:hAnsiTheme="minorHAnsi"/>
          <w:noProof/>
          <w:lang w:val="en-US"/>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142" type="#_x0000_t176" style="position:absolute;margin-left:87.2pt;margin-top:9.35pt;width:1in;height:55.85pt;z-index:251750400;v-text-anchor:middle" fillcolor="black" strokecolor="#f2f2f2" strokeweight="3pt">
            <v:shadow on="t" type="perspective" color="#7f7f7f" opacity=".5" offset="1pt" offset2="-1pt"/>
            <v:textbox>
              <w:txbxContent>
                <w:p w:rsidR="00192589" w:rsidRPr="00B37990" w:rsidRDefault="00192589" w:rsidP="00192589">
                  <w:pPr>
                    <w:contextualSpacing/>
                    <w:jc w:val="center"/>
                    <w:rPr>
                      <w:rFonts w:ascii="Century Gothic" w:hAnsi="Century Gothic"/>
                      <w:b/>
                      <w:color w:val="FFFFFF"/>
                    </w:rPr>
                  </w:pPr>
                  <w:r>
                    <w:rPr>
                      <w:rFonts w:ascii="Century Gothic" w:hAnsi="Century Gothic"/>
                      <w:b/>
                      <w:color w:val="FFFFFF"/>
                    </w:rPr>
                    <w:t>4</w:t>
                  </w:r>
                  <w:r w:rsidRPr="00B37990">
                    <w:rPr>
                      <w:rFonts w:ascii="Century Gothic" w:hAnsi="Century Gothic"/>
                      <w:b/>
                      <w:color w:val="FFFFFF"/>
                    </w:rPr>
                    <w:t xml:space="preserve"> CEP </w:t>
                  </w:r>
                  <w:r>
                    <w:rPr>
                      <w:rFonts w:ascii="Century Gothic" w:hAnsi="Century Gothic"/>
                      <w:b/>
                      <w:color w:val="FFFFFF"/>
                    </w:rPr>
                    <w:t>POINTS</w:t>
                  </w:r>
                </w:p>
              </w:txbxContent>
            </v:textbox>
          </v:shape>
        </w:pict>
      </w:r>
    </w:p>
    <w:p w:rsidR="00F83557" w:rsidRDefault="00F83557">
      <w:pPr>
        <w:rPr>
          <w:rFonts w:asciiTheme="minorHAnsi" w:hAnsiTheme="minorHAnsi"/>
        </w:rPr>
      </w:pPr>
    </w:p>
    <w:p w:rsidR="00F83557" w:rsidRDefault="00F83557">
      <w:pPr>
        <w:rPr>
          <w:rFonts w:asciiTheme="minorHAnsi" w:hAnsiTheme="minorHAnsi"/>
        </w:rPr>
      </w:pPr>
    </w:p>
    <w:p w:rsidR="001969FF" w:rsidRDefault="001969FF">
      <w:pPr>
        <w:rPr>
          <w:rFonts w:asciiTheme="minorHAnsi" w:hAnsiTheme="minorHAnsi"/>
        </w:rPr>
      </w:pPr>
    </w:p>
    <w:p w:rsidR="001969FF" w:rsidRDefault="001969FF">
      <w:pPr>
        <w:rPr>
          <w:rFonts w:asciiTheme="minorHAnsi" w:hAnsiTheme="minorHAnsi"/>
        </w:rPr>
      </w:pPr>
    </w:p>
    <w:p w:rsidR="001969FF" w:rsidRDefault="001969FF">
      <w:pPr>
        <w:rPr>
          <w:rFonts w:asciiTheme="minorHAnsi" w:hAnsiTheme="minorHAnsi"/>
        </w:rPr>
      </w:pPr>
    </w:p>
    <w:p w:rsidR="001969FF" w:rsidRDefault="001969FF">
      <w:pPr>
        <w:rPr>
          <w:rFonts w:asciiTheme="minorHAnsi" w:hAnsiTheme="minorHAnsi"/>
        </w:rPr>
      </w:pPr>
    </w:p>
    <w:p w:rsidR="001969FF" w:rsidRPr="00B26841" w:rsidRDefault="001969FF">
      <w:pPr>
        <w:rPr>
          <w:rFonts w:asciiTheme="minorHAnsi" w:hAnsiTheme="minorHAnsi"/>
        </w:rPr>
        <w:sectPr w:rsidR="001969FF" w:rsidRPr="00B26841" w:rsidSect="00086C2F">
          <w:type w:val="continuous"/>
          <w:pgSz w:w="11906" w:h="16838" w:code="9"/>
          <w:pgMar w:top="1440" w:right="1080" w:bottom="1440" w:left="1080" w:header="0" w:footer="0" w:gutter="0"/>
          <w:pgBorders w:offsetFrom="page">
            <w:top w:val="single" w:sz="4" w:space="24" w:color="auto"/>
            <w:left w:val="single" w:sz="4" w:space="24" w:color="auto"/>
            <w:bottom w:val="single" w:sz="4" w:space="24" w:color="auto"/>
            <w:right w:val="single" w:sz="4" w:space="24" w:color="auto"/>
          </w:pgBorders>
          <w:cols w:num="2" w:sep="1" w:space="567"/>
          <w:titlePg/>
          <w:docGrid w:linePitch="299"/>
        </w:sectPr>
      </w:pPr>
    </w:p>
    <w:p w:rsidR="003F6F40" w:rsidRDefault="003F6F40"/>
    <w:p w:rsidR="00BC0460" w:rsidRDefault="00BC0460" w:rsidP="00BC0460">
      <w:pPr>
        <w:ind w:left="-709"/>
        <w:rPr>
          <w:rFonts w:asciiTheme="minorHAnsi" w:hAnsiTheme="minorHAnsi"/>
        </w:rPr>
        <w:sectPr w:rsidR="00BC0460" w:rsidSect="00086C2F">
          <w:type w:val="continuous"/>
          <w:pgSz w:w="11906" w:h="16838" w:code="9"/>
          <w:pgMar w:top="806" w:right="922" w:bottom="900" w:left="1800" w:header="0" w:footer="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p>
    <w:p w:rsidR="00BC0460" w:rsidRDefault="00BC0460" w:rsidP="00BC0460">
      <w:pPr>
        <w:jc w:val="both"/>
        <w:rPr>
          <w:rFonts w:asciiTheme="minorHAnsi" w:hAnsiTheme="minorHAnsi"/>
          <w:sz w:val="20"/>
        </w:rPr>
        <w:sectPr w:rsidR="00BC0460" w:rsidSect="00086C2F">
          <w:type w:val="continuous"/>
          <w:pgSz w:w="11906" w:h="16838" w:code="9"/>
          <w:pgMar w:top="806" w:right="922" w:bottom="900" w:left="1800" w:header="0" w:footer="0" w:gutter="0"/>
          <w:pgBorders w:offsetFrom="page">
            <w:top w:val="single" w:sz="4" w:space="24" w:color="auto"/>
            <w:left w:val="single" w:sz="4" w:space="24" w:color="auto"/>
            <w:bottom w:val="single" w:sz="4" w:space="24" w:color="auto"/>
            <w:right w:val="single" w:sz="4" w:space="24" w:color="auto"/>
          </w:pgBorders>
          <w:cols w:num="2" w:space="284"/>
          <w:titlePg/>
          <w:docGrid w:linePitch="299"/>
        </w:sectPr>
      </w:pPr>
    </w:p>
    <w:p w:rsidR="00342A8B" w:rsidRDefault="00342A8B" w:rsidP="00F03B79">
      <w:pPr>
        <w:ind w:left="-709"/>
        <w:rPr>
          <w:rFonts w:asciiTheme="minorHAnsi" w:hAnsiTheme="minorHAnsi"/>
          <w:b/>
          <w:sz w:val="20"/>
        </w:rPr>
      </w:pPr>
    </w:p>
    <w:p w:rsidR="003F6F40" w:rsidRDefault="003F6F40" w:rsidP="00D90843">
      <w:pPr>
        <w:rPr>
          <w:rFonts w:asciiTheme="minorHAnsi" w:hAnsiTheme="minorHAnsi"/>
        </w:rPr>
      </w:pPr>
    </w:p>
    <w:p w:rsidR="001969FF" w:rsidRDefault="001969FF" w:rsidP="00D90843">
      <w:pPr>
        <w:rPr>
          <w:rFonts w:asciiTheme="minorHAnsi" w:hAnsiTheme="minorHAnsi"/>
        </w:rPr>
        <w:sectPr w:rsidR="001969FF" w:rsidSect="00086C2F">
          <w:type w:val="continuous"/>
          <w:pgSz w:w="11906" w:h="16838" w:code="9"/>
          <w:pgMar w:top="806" w:right="922" w:bottom="900" w:left="1800" w:header="0" w:footer="0" w:gutter="0"/>
          <w:pgBorders w:offsetFrom="page">
            <w:top w:val="single" w:sz="4" w:space="24" w:color="auto"/>
            <w:left w:val="single" w:sz="4" w:space="24" w:color="auto"/>
            <w:bottom w:val="single" w:sz="4" w:space="24" w:color="auto"/>
            <w:right w:val="single" w:sz="4" w:space="24" w:color="auto"/>
          </w:pgBorders>
          <w:cols w:space="284"/>
          <w:titlePg/>
          <w:docGrid w:linePitch="299"/>
        </w:sectPr>
      </w:pPr>
    </w:p>
    <w:p w:rsidR="00C97D66" w:rsidRDefault="00C97D66" w:rsidP="00D90843">
      <w:pPr>
        <w:rPr>
          <w:rFonts w:asciiTheme="minorHAnsi" w:hAnsiTheme="minorHAnsi"/>
        </w:rPr>
      </w:pPr>
    </w:p>
    <w:p w:rsidR="00D90843" w:rsidRDefault="00D90843">
      <w:pPr>
        <w:sectPr w:rsidR="00D90843" w:rsidSect="00086C2F">
          <w:type w:val="continuous"/>
          <w:pgSz w:w="11906" w:h="16838" w:code="9"/>
          <w:pgMar w:top="806" w:right="922" w:bottom="900" w:left="1800" w:header="0" w:footer="0" w:gutter="0"/>
          <w:pgBorders w:offsetFrom="page">
            <w:top w:val="single" w:sz="4" w:space="24" w:color="auto"/>
            <w:left w:val="single" w:sz="4" w:space="24" w:color="auto"/>
            <w:bottom w:val="single" w:sz="4" w:space="24" w:color="auto"/>
            <w:right w:val="single" w:sz="4" w:space="24" w:color="auto"/>
          </w:pgBorders>
          <w:cols w:num="2" w:space="284"/>
          <w:titlePg/>
          <w:docGrid w:linePitch="299"/>
        </w:sectPr>
      </w:pPr>
    </w:p>
    <w:p w:rsidR="00342A8B" w:rsidRDefault="00342A8B" w:rsidP="00D35263">
      <w:pPr>
        <w:jc w:val="center"/>
        <w:rPr>
          <w:rFonts w:asciiTheme="majorHAnsi" w:hAnsiTheme="majorHAnsi"/>
          <w:sz w:val="28"/>
          <w:szCs w:val="28"/>
          <w:u w:val="single"/>
        </w:rPr>
      </w:pPr>
    </w:p>
    <w:p w:rsidR="00342A8B" w:rsidRDefault="00342A8B" w:rsidP="00D35263">
      <w:pPr>
        <w:jc w:val="center"/>
        <w:rPr>
          <w:rFonts w:asciiTheme="majorHAnsi" w:hAnsiTheme="majorHAnsi"/>
          <w:sz w:val="28"/>
          <w:szCs w:val="28"/>
          <w:u w:val="single"/>
        </w:rPr>
      </w:pPr>
    </w:p>
    <w:p w:rsidR="00342A8B" w:rsidRDefault="00342A8B" w:rsidP="00D35263">
      <w:pPr>
        <w:jc w:val="center"/>
        <w:rPr>
          <w:rFonts w:asciiTheme="majorHAnsi" w:hAnsiTheme="majorHAnsi"/>
          <w:sz w:val="28"/>
          <w:szCs w:val="28"/>
          <w:u w:val="single"/>
        </w:rPr>
      </w:pPr>
    </w:p>
    <w:p w:rsidR="00F83557" w:rsidRDefault="00F83557" w:rsidP="00D925F9">
      <w:pPr>
        <w:rPr>
          <w:rFonts w:asciiTheme="majorHAnsi" w:hAnsiTheme="majorHAnsi"/>
          <w:sz w:val="28"/>
          <w:szCs w:val="28"/>
          <w:u w:val="single"/>
        </w:rPr>
      </w:pPr>
    </w:p>
    <w:p w:rsidR="00342A8B" w:rsidRDefault="005779AB" w:rsidP="00086C2F">
      <w:pPr>
        <w:ind w:left="360"/>
        <w:rPr>
          <w:rFonts w:asciiTheme="majorHAnsi" w:hAnsiTheme="majorHAnsi"/>
          <w:sz w:val="28"/>
          <w:szCs w:val="28"/>
          <w:u w:val="single"/>
        </w:rPr>
      </w:pPr>
      <w:r w:rsidRPr="005779AB">
        <w:rPr>
          <w:rFonts w:asciiTheme="minorHAnsi" w:hAnsiTheme="minorHAnsi"/>
          <w:noProof/>
          <w:lang w:val="en-US"/>
        </w:rPr>
        <w:pict>
          <v:roundrect id="_x0000_s1052" style="position:absolute;left:0;text-align:left;margin-left:13.3pt;margin-top:-8.05pt;width:150.55pt;height:23.4pt;z-index:-251650048" arcsize="10923f">
            <v:shadow on="t" offset="3pt" offset2="2pt"/>
            <v:textbox>
              <w:txbxContent>
                <w:p w:rsidR="00BC0460" w:rsidRPr="00D925F9" w:rsidRDefault="00D925F9">
                  <w:pPr>
                    <w:rPr>
                      <w:rFonts w:asciiTheme="minorHAnsi" w:hAnsiTheme="minorHAnsi"/>
                    </w:rPr>
                  </w:pPr>
                  <w:r w:rsidRPr="00D925F9">
                    <w:rPr>
                      <w:rFonts w:asciiTheme="minorHAnsi" w:hAnsiTheme="minorHAnsi"/>
                    </w:rPr>
                    <w:t>SPEAKER’S PROFILE</w:t>
                  </w:r>
                </w:p>
              </w:txbxContent>
            </v:textbox>
          </v:roundrect>
        </w:pict>
      </w:r>
    </w:p>
    <w:p w:rsidR="00D925F9" w:rsidRDefault="00D925F9" w:rsidP="00D925F9">
      <w:pPr>
        <w:rPr>
          <w:rFonts w:asciiTheme="majorHAnsi" w:hAnsiTheme="majorHAnsi"/>
          <w:sz w:val="28"/>
          <w:szCs w:val="28"/>
          <w:u w:val="single"/>
        </w:rPr>
      </w:pPr>
    </w:p>
    <w:tbl>
      <w:tblPr>
        <w:tblStyle w:val="TableGrid"/>
        <w:tblW w:w="97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0"/>
        <w:gridCol w:w="1980"/>
        <w:gridCol w:w="6316"/>
        <w:gridCol w:w="720"/>
      </w:tblGrid>
      <w:tr w:rsidR="00204A3F" w:rsidRPr="00B36090" w:rsidTr="00086C2F">
        <w:trPr>
          <w:gridBefore w:val="1"/>
          <w:wBefore w:w="720" w:type="dxa"/>
        </w:trPr>
        <w:tc>
          <w:tcPr>
            <w:tcW w:w="1980" w:type="dxa"/>
          </w:tcPr>
          <w:p w:rsidR="00204A3F" w:rsidRDefault="00204A3F" w:rsidP="006F0DD1">
            <w:r>
              <w:rPr>
                <w:b/>
                <w:noProof/>
                <w:lang w:val="en-US"/>
              </w:rPr>
              <w:drawing>
                <wp:inline distT="0" distB="0" distL="0" distR="0">
                  <wp:extent cx="800100" cy="1143000"/>
                  <wp:effectExtent l="0" t="0" r="0" b="0"/>
                  <wp:docPr id="1" name="Picture 2" descr="C:\Users\User\Documents\BROCHURES(2016)\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BROCHURES(2016)\images.jpg"/>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00100" cy="1143000"/>
                          </a:xfrm>
                          <a:prstGeom prst="rect">
                            <a:avLst/>
                          </a:prstGeom>
                          <a:noFill/>
                          <a:ln>
                            <a:noFill/>
                          </a:ln>
                        </pic:spPr>
                      </pic:pic>
                    </a:graphicData>
                  </a:graphic>
                </wp:inline>
              </w:drawing>
            </w:r>
          </w:p>
        </w:tc>
        <w:tc>
          <w:tcPr>
            <w:tcW w:w="7036" w:type="dxa"/>
            <w:gridSpan w:val="2"/>
            <w:vAlign w:val="center"/>
          </w:tcPr>
          <w:p w:rsidR="00204A3F" w:rsidRPr="00B36090" w:rsidRDefault="00204A3F" w:rsidP="006F0DD1">
            <w:pPr>
              <w:rPr>
                <w:rFonts w:ascii="Segoe UI Semibold" w:hAnsi="Segoe UI Semibold" w:cs="Segoe UI Semilight"/>
                <w:b/>
                <w:sz w:val="24"/>
              </w:rPr>
            </w:pPr>
            <w:r w:rsidRPr="00B36090">
              <w:rPr>
                <w:rFonts w:ascii="Segoe UI Semibold" w:hAnsi="Segoe UI Semibold" w:cs="Segoe UI Semilight"/>
                <w:b/>
                <w:sz w:val="24"/>
              </w:rPr>
              <w:t>CHONG CHEE FERN</w:t>
            </w:r>
          </w:p>
          <w:p w:rsidR="00204A3F" w:rsidRPr="00B36090" w:rsidRDefault="00204A3F" w:rsidP="006F0DD1">
            <w:pPr>
              <w:rPr>
                <w:rFonts w:ascii="Segoe UI Semilight" w:hAnsi="Segoe UI Semilight" w:cs="Segoe UI Semilight"/>
                <w:b/>
              </w:rPr>
            </w:pPr>
            <w:r w:rsidRPr="00B36090">
              <w:rPr>
                <w:rFonts w:ascii="Segoe UI Semibold" w:hAnsi="Segoe UI Semibold"/>
                <w:b/>
              </w:rPr>
              <w:t xml:space="preserve">B. Econs. (Accounting), </w:t>
            </w:r>
            <w:r w:rsidRPr="00B36090">
              <w:rPr>
                <w:rFonts w:ascii="Segoe UI Semibold" w:hAnsi="Segoe UI Semibold" w:cs="Segoe UI Semilight"/>
                <w:b/>
              </w:rPr>
              <w:t>University of Malaya</w:t>
            </w:r>
          </w:p>
        </w:tc>
      </w:tr>
      <w:tr w:rsidR="00204A3F" w:rsidRPr="00DF6A64" w:rsidTr="00086C2F">
        <w:trPr>
          <w:gridAfter w:val="1"/>
          <w:wAfter w:w="720" w:type="dxa"/>
        </w:trPr>
        <w:tc>
          <w:tcPr>
            <w:tcW w:w="9016" w:type="dxa"/>
            <w:gridSpan w:val="3"/>
          </w:tcPr>
          <w:p w:rsidR="00204A3F" w:rsidRPr="00DF6A64" w:rsidRDefault="00204A3F" w:rsidP="006F0DD1">
            <w:pPr>
              <w:rPr>
                <w:rFonts w:asciiTheme="majorHAnsi" w:hAnsiTheme="majorHAnsi"/>
              </w:rPr>
            </w:pPr>
          </w:p>
        </w:tc>
      </w:tr>
      <w:tr w:rsidR="00204A3F" w:rsidRPr="00852D08" w:rsidTr="00086C2F">
        <w:trPr>
          <w:gridAfter w:val="1"/>
          <w:wAfter w:w="720" w:type="dxa"/>
        </w:trPr>
        <w:tc>
          <w:tcPr>
            <w:tcW w:w="9016" w:type="dxa"/>
            <w:gridSpan w:val="3"/>
          </w:tcPr>
          <w:p w:rsidR="00204A3F" w:rsidRPr="00852D08" w:rsidRDefault="00204A3F" w:rsidP="00086C2F">
            <w:pPr>
              <w:spacing w:line="276" w:lineRule="auto"/>
              <w:ind w:left="360"/>
              <w:jc w:val="both"/>
              <w:rPr>
                <w:rFonts w:asciiTheme="minorHAnsi" w:hAnsiTheme="minorHAnsi" w:cstheme="minorHAnsi"/>
                <w:szCs w:val="22"/>
              </w:rPr>
            </w:pPr>
            <w:r w:rsidRPr="00086C2F">
              <w:rPr>
                <w:rFonts w:asciiTheme="minorHAnsi" w:hAnsiTheme="minorHAnsi" w:cstheme="minorHAnsi"/>
                <w:b/>
                <w:bCs/>
                <w:szCs w:val="22"/>
              </w:rPr>
              <w:t>Mr. Chong</w:t>
            </w:r>
            <w:r w:rsidRPr="00852D08">
              <w:rPr>
                <w:rFonts w:asciiTheme="minorHAnsi" w:hAnsiTheme="minorHAnsi" w:cstheme="minorHAnsi"/>
                <w:szCs w:val="22"/>
              </w:rPr>
              <w:t xml:space="preserve">, a Chartered Accountant registered with the Malaysian Institute of Accountants, holds a B. Econs. (Accounting) (2nd Class Upper Hons.) Degree and a Postgraduate Dip. In Accounting, both from University of Malaya. He is also a holder of the Certified Financial Planner (CFP) qualification and has vast experience in banking and capital market with many years of exposures in internal audit, corporate planning, investor relations, risk management, monitoring of public listed companies and corporate governance. He was the former General Manager, Corporate Monitoring in Minority Shareholder Watchdog Group (MSWG) where his job responsibilities entailed mainly supervising the monitoring of selected public listed companies, complaints and MSWG’s newsletters and the annual surveys for the Malaysian Corporate Governance Index. </w:t>
            </w:r>
          </w:p>
          <w:p w:rsidR="00204A3F" w:rsidRPr="00852D08" w:rsidRDefault="00204A3F" w:rsidP="006F0DD1">
            <w:pPr>
              <w:rPr>
                <w:rFonts w:asciiTheme="minorHAnsi" w:hAnsiTheme="minorHAnsi" w:cstheme="minorHAnsi"/>
                <w:b/>
                <w:szCs w:val="22"/>
              </w:rPr>
            </w:pPr>
          </w:p>
          <w:p w:rsidR="00204A3F" w:rsidRPr="00852D08" w:rsidRDefault="00204A3F" w:rsidP="00086C2F">
            <w:pPr>
              <w:spacing w:line="276" w:lineRule="auto"/>
              <w:ind w:left="360"/>
              <w:jc w:val="both"/>
              <w:rPr>
                <w:rFonts w:asciiTheme="minorHAnsi" w:hAnsiTheme="minorHAnsi" w:cstheme="minorHAnsi"/>
                <w:szCs w:val="22"/>
              </w:rPr>
            </w:pPr>
            <w:r w:rsidRPr="00086C2F">
              <w:rPr>
                <w:rFonts w:asciiTheme="minorHAnsi" w:hAnsiTheme="minorHAnsi" w:cstheme="minorHAnsi"/>
                <w:b/>
                <w:bCs/>
                <w:szCs w:val="22"/>
              </w:rPr>
              <w:t>Mr. Chong</w:t>
            </w:r>
            <w:r w:rsidRPr="00852D08">
              <w:rPr>
                <w:rFonts w:asciiTheme="minorHAnsi" w:hAnsiTheme="minorHAnsi" w:cstheme="minorHAnsi"/>
                <w:szCs w:val="22"/>
              </w:rPr>
              <w:t xml:space="preserve"> had delivered several talks and participated in speaking engagements, seminars and forums encompassing corporate governance, internal audit, capital market issues, audit expectation gap and how corporate reporting could meet investors’ needs. He is also an HRDF certified trainer. He had many years of experience in Bank Negara Malaysia, involved in supervising financial institutions and preparation of the Bank’s annual report and budget. His attachment with a large international shipping corporation had also enriched his experience in the areas of finance, corporate planning and investor relations. He had worked with international consultants in the business transformation programme and also for many years was responsible for drafting the Chairman’s Statement and Managing Director’s Report for the corporation’s Annual Report. He had served in various positions in an investment bank with experience mainly in internal auditing and risk management.</w:t>
            </w:r>
          </w:p>
          <w:p w:rsidR="00204A3F" w:rsidRPr="00852D08" w:rsidRDefault="00204A3F" w:rsidP="006F0DD1">
            <w:pPr>
              <w:rPr>
                <w:rFonts w:asciiTheme="minorHAnsi" w:hAnsiTheme="minorHAnsi" w:cstheme="minorHAnsi"/>
                <w:b/>
                <w:szCs w:val="22"/>
              </w:rPr>
            </w:pPr>
          </w:p>
          <w:p w:rsidR="00204A3F" w:rsidRPr="00852D08" w:rsidRDefault="00204A3F" w:rsidP="006F0DD1">
            <w:pPr>
              <w:rPr>
                <w:rFonts w:asciiTheme="minorHAnsi" w:hAnsiTheme="minorHAnsi" w:cstheme="minorHAnsi"/>
                <w:b/>
                <w:szCs w:val="22"/>
              </w:rPr>
            </w:pPr>
          </w:p>
          <w:p w:rsidR="00204A3F" w:rsidRPr="00852D08" w:rsidRDefault="00204A3F" w:rsidP="006F0DD1">
            <w:pPr>
              <w:rPr>
                <w:rFonts w:asciiTheme="minorHAnsi" w:hAnsiTheme="minorHAnsi" w:cstheme="minorHAnsi"/>
                <w:b/>
                <w:szCs w:val="22"/>
              </w:rPr>
            </w:pPr>
          </w:p>
          <w:p w:rsidR="00204A3F" w:rsidRPr="00852D08" w:rsidRDefault="00204A3F" w:rsidP="006F0DD1">
            <w:pPr>
              <w:rPr>
                <w:rFonts w:asciiTheme="minorHAnsi" w:hAnsiTheme="minorHAnsi" w:cstheme="minorHAnsi"/>
                <w:b/>
                <w:szCs w:val="22"/>
              </w:rPr>
            </w:pPr>
          </w:p>
          <w:p w:rsidR="00204A3F" w:rsidRPr="00852D08" w:rsidRDefault="00204A3F" w:rsidP="006F0DD1">
            <w:pPr>
              <w:rPr>
                <w:rFonts w:asciiTheme="minorHAnsi" w:hAnsiTheme="minorHAnsi" w:cstheme="minorHAnsi"/>
                <w:b/>
                <w:szCs w:val="22"/>
              </w:rPr>
            </w:pPr>
          </w:p>
          <w:p w:rsidR="00204A3F" w:rsidRPr="00852D08" w:rsidRDefault="00204A3F" w:rsidP="006F0DD1">
            <w:pPr>
              <w:rPr>
                <w:rFonts w:asciiTheme="minorHAnsi" w:hAnsiTheme="minorHAnsi" w:cstheme="minorHAnsi"/>
                <w:b/>
                <w:szCs w:val="22"/>
              </w:rPr>
            </w:pPr>
          </w:p>
          <w:p w:rsidR="00204A3F" w:rsidRPr="00852D08" w:rsidRDefault="00204A3F" w:rsidP="006F0DD1">
            <w:pPr>
              <w:rPr>
                <w:rFonts w:asciiTheme="minorHAnsi" w:hAnsiTheme="minorHAnsi" w:cstheme="minorHAnsi"/>
                <w:b/>
                <w:szCs w:val="22"/>
              </w:rPr>
            </w:pPr>
          </w:p>
          <w:p w:rsidR="00204A3F" w:rsidRPr="00852D08" w:rsidRDefault="00204A3F" w:rsidP="006F0DD1">
            <w:pPr>
              <w:rPr>
                <w:rFonts w:asciiTheme="minorHAnsi" w:hAnsiTheme="minorHAnsi" w:cstheme="minorHAnsi"/>
                <w:szCs w:val="22"/>
              </w:rPr>
            </w:pPr>
          </w:p>
        </w:tc>
      </w:tr>
    </w:tbl>
    <w:p w:rsidR="00D925F9" w:rsidRDefault="00D925F9" w:rsidP="00D925F9">
      <w:pPr>
        <w:rPr>
          <w:rFonts w:asciiTheme="majorHAnsi" w:hAnsiTheme="majorHAnsi"/>
          <w:sz w:val="28"/>
          <w:szCs w:val="28"/>
          <w:u w:val="single"/>
        </w:rPr>
      </w:pPr>
    </w:p>
    <w:p w:rsidR="00204A3F" w:rsidRDefault="00204A3F" w:rsidP="00D925F9">
      <w:pPr>
        <w:rPr>
          <w:rFonts w:asciiTheme="majorHAnsi" w:hAnsiTheme="majorHAnsi"/>
          <w:sz w:val="28"/>
          <w:szCs w:val="28"/>
          <w:u w:val="single"/>
        </w:rPr>
      </w:pPr>
    </w:p>
    <w:p w:rsidR="00204A3F" w:rsidRDefault="00204A3F" w:rsidP="00D925F9">
      <w:pPr>
        <w:rPr>
          <w:rFonts w:asciiTheme="majorHAnsi" w:hAnsiTheme="majorHAnsi"/>
          <w:sz w:val="28"/>
          <w:szCs w:val="28"/>
          <w:u w:val="single"/>
        </w:rPr>
      </w:pPr>
    </w:p>
    <w:p w:rsidR="00204A3F" w:rsidRDefault="00204A3F" w:rsidP="00D925F9">
      <w:pPr>
        <w:rPr>
          <w:rFonts w:asciiTheme="majorHAnsi" w:hAnsiTheme="majorHAnsi"/>
          <w:sz w:val="28"/>
          <w:szCs w:val="28"/>
          <w:u w:val="single"/>
        </w:rPr>
      </w:pPr>
    </w:p>
    <w:p w:rsidR="00D925F9" w:rsidRDefault="00D925F9" w:rsidP="00D925F9">
      <w:pPr>
        <w:rPr>
          <w:rFonts w:asciiTheme="majorHAnsi" w:hAnsiTheme="majorHAnsi"/>
          <w:sz w:val="28"/>
          <w:szCs w:val="28"/>
          <w:u w:val="single"/>
        </w:rPr>
      </w:pPr>
    </w:p>
    <w:p w:rsidR="00086C2F" w:rsidRDefault="00086C2F" w:rsidP="00D35263">
      <w:pPr>
        <w:jc w:val="center"/>
        <w:rPr>
          <w:rFonts w:asciiTheme="majorHAnsi" w:hAnsiTheme="majorHAnsi"/>
          <w:sz w:val="28"/>
          <w:szCs w:val="28"/>
          <w:u w:val="single"/>
        </w:rPr>
      </w:pPr>
    </w:p>
    <w:p w:rsidR="00E76169" w:rsidRPr="004E6547" w:rsidRDefault="004E6547" w:rsidP="00D35263">
      <w:pPr>
        <w:jc w:val="center"/>
        <w:rPr>
          <w:rFonts w:asciiTheme="majorHAnsi" w:hAnsiTheme="majorHAnsi"/>
          <w:sz w:val="28"/>
          <w:szCs w:val="28"/>
          <w:u w:val="single"/>
        </w:rPr>
      </w:pPr>
      <w:r w:rsidRPr="004E6547">
        <w:rPr>
          <w:rFonts w:asciiTheme="majorHAnsi" w:hAnsiTheme="majorHAnsi"/>
          <w:sz w:val="28"/>
          <w:szCs w:val="28"/>
          <w:u w:val="single"/>
        </w:rPr>
        <w:lastRenderedPageBreak/>
        <w:t>REGISTRATION FORM</w:t>
      </w:r>
    </w:p>
    <w:p w:rsidR="00E76169" w:rsidRDefault="00E76169"/>
    <w:p w:rsidR="004E6547" w:rsidRDefault="004E6547"/>
    <w:p w:rsidR="000D57B6" w:rsidRDefault="00342A8B" w:rsidP="00D926B0">
      <w:pPr>
        <w:jc w:val="center"/>
        <w:rPr>
          <w:rFonts w:asciiTheme="minorHAnsi" w:hAnsiTheme="minorHAnsi"/>
          <w:sz w:val="24"/>
          <w:szCs w:val="24"/>
        </w:rPr>
      </w:pPr>
      <w:r w:rsidRPr="00342A8B">
        <w:rPr>
          <w:rFonts w:asciiTheme="majorHAnsi" w:eastAsiaTheme="majorEastAsia" w:hAnsiTheme="majorHAnsi" w:cstheme="majorBidi"/>
          <w:b/>
          <w:bCs/>
          <w:color w:val="365F91" w:themeColor="accent1" w:themeShade="BF"/>
          <w:sz w:val="36"/>
          <w:szCs w:val="36"/>
        </w:rPr>
        <w:t xml:space="preserve">The </w:t>
      </w:r>
      <w:r w:rsidR="00F83557">
        <w:rPr>
          <w:rFonts w:asciiTheme="majorHAnsi" w:eastAsiaTheme="majorEastAsia" w:hAnsiTheme="majorHAnsi" w:cstheme="majorBidi"/>
          <w:b/>
          <w:bCs/>
          <w:color w:val="365F91" w:themeColor="accent1" w:themeShade="BF"/>
          <w:sz w:val="36"/>
          <w:szCs w:val="36"/>
        </w:rPr>
        <w:t>Annual General Meeting(</w:t>
      </w:r>
      <w:r w:rsidRPr="00342A8B">
        <w:rPr>
          <w:rFonts w:asciiTheme="majorHAnsi" w:eastAsiaTheme="majorEastAsia" w:hAnsiTheme="majorHAnsi" w:cstheme="majorBidi"/>
          <w:b/>
          <w:bCs/>
          <w:color w:val="365F91" w:themeColor="accent1" w:themeShade="BF"/>
          <w:sz w:val="36"/>
          <w:szCs w:val="36"/>
        </w:rPr>
        <w:t>AGM</w:t>
      </w:r>
      <w:r w:rsidR="00F83557">
        <w:rPr>
          <w:rFonts w:asciiTheme="majorHAnsi" w:eastAsiaTheme="majorEastAsia" w:hAnsiTheme="majorHAnsi" w:cstheme="majorBidi"/>
          <w:b/>
          <w:bCs/>
          <w:color w:val="365F91" w:themeColor="accent1" w:themeShade="BF"/>
          <w:sz w:val="36"/>
          <w:szCs w:val="36"/>
        </w:rPr>
        <w:t>)</w:t>
      </w:r>
      <w:r w:rsidRPr="00342A8B">
        <w:rPr>
          <w:rFonts w:asciiTheme="majorHAnsi" w:eastAsiaTheme="majorEastAsia" w:hAnsiTheme="majorHAnsi" w:cstheme="majorBidi"/>
          <w:b/>
          <w:bCs/>
          <w:color w:val="365F91" w:themeColor="accent1" w:themeShade="BF"/>
          <w:sz w:val="36"/>
          <w:szCs w:val="36"/>
        </w:rPr>
        <w:t xml:space="preserve"> – A Practical Insight and Managing Shareholders’ Expectations</w:t>
      </w:r>
      <w:r w:rsidR="006807E9">
        <w:rPr>
          <w:rFonts w:asciiTheme="minorHAnsi" w:hAnsiTheme="minorHAnsi"/>
          <w:sz w:val="24"/>
          <w:szCs w:val="24"/>
        </w:rPr>
        <w:br/>
      </w:r>
      <w:r w:rsidR="000D57B6">
        <w:rPr>
          <w:rFonts w:asciiTheme="minorHAnsi" w:hAnsiTheme="minorHAnsi"/>
          <w:sz w:val="24"/>
          <w:szCs w:val="24"/>
        </w:rPr>
        <w:t>0900 – 1</w:t>
      </w:r>
      <w:r w:rsidR="001969FF">
        <w:rPr>
          <w:rFonts w:asciiTheme="minorHAnsi" w:hAnsiTheme="minorHAnsi"/>
          <w:sz w:val="24"/>
          <w:szCs w:val="24"/>
        </w:rPr>
        <w:t>3</w:t>
      </w:r>
      <w:r w:rsidR="003954D3">
        <w:rPr>
          <w:rFonts w:asciiTheme="minorHAnsi" w:hAnsiTheme="minorHAnsi"/>
          <w:sz w:val="24"/>
          <w:szCs w:val="24"/>
        </w:rPr>
        <w:t>00</w:t>
      </w:r>
      <w:r w:rsidR="00C706E0">
        <w:rPr>
          <w:rFonts w:asciiTheme="minorHAnsi" w:hAnsiTheme="minorHAnsi"/>
          <w:sz w:val="24"/>
          <w:szCs w:val="24"/>
        </w:rPr>
        <w:t xml:space="preserve"> hours</w:t>
      </w:r>
    </w:p>
    <w:p w:rsidR="0036426E" w:rsidRDefault="0036426E" w:rsidP="00D926B0">
      <w:pPr>
        <w:jc w:val="center"/>
        <w:rPr>
          <w:rFonts w:asciiTheme="minorHAnsi" w:hAnsiTheme="minorHAnsi"/>
          <w:sz w:val="24"/>
          <w:szCs w:val="24"/>
        </w:rPr>
      </w:pPr>
      <w:r>
        <w:rPr>
          <w:rFonts w:asciiTheme="minorHAnsi" w:hAnsiTheme="minorHAnsi"/>
          <w:sz w:val="24"/>
          <w:szCs w:val="24"/>
        </w:rPr>
        <w:t>Hilton Petaling Jaya</w:t>
      </w:r>
    </w:p>
    <w:p w:rsidR="006807E9" w:rsidRPr="000D57B6" w:rsidRDefault="006807E9" w:rsidP="000D57B6">
      <w:pPr>
        <w:jc w:val="center"/>
        <w:rPr>
          <w:rFonts w:asciiTheme="minorHAnsi" w:hAnsiTheme="minorHAnsi"/>
          <w:sz w:val="24"/>
          <w:szCs w:val="24"/>
        </w:rPr>
      </w:pPr>
    </w:p>
    <w:p w:rsidR="004E6547" w:rsidRDefault="004E6547"/>
    <w:p w:rsidR="00E76169" w:rsidRPr="00086C2F" w:rsidRDefault="005779AB">
      <w:pPr>
        <w:rPr>
          <w:rFonts w:asciiTheme="minorHAnsi" w:hAnsiTheme="minorHAnsi"/>
          <w:b/>
          <w:bCs/>
          <w:i/>
          <w:iCs/>
          <w:sz w:val="24"/>
          <w:szCs w:val="24"/>
        </w:rPr>
      </w:pPr>
      <w:r w:rsidRPr="005779AB">
        <w:rPr>
          <w:rFonts w:asciiTheme="minorHAnsi" w:hAnsiTheme="minorHAnsi"/>
          <w:noProof/>
          <w:color w:val="548DD4" w:themeColor="text2" w:themeTint="99"/>
          <w:sz w:val="24"/>
          <w:szCs w:val="24"/>
          <w:lang w:val="en-US"/>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56" type="#_x0000_t55" style="position:absolute;margin-left:-17.8pt;margin-top:-.45pt;width:11.05pt;height:16.85pt;z-index:251655168" strokecolor="#548dd4"/>
        </w:pict>
      </w:r>
      <w:r w:rsidR="004E6547">
        <w:rPr>
          <w:rFonts w:asciiTheme="minorHAnsi" w:hAnsiTheme="minorHAnsi"/>
          <w:sz w:val="24"/>
          <w:szCs w:val="24"/>
        </w:rPr>
        <w:t>Please tick respective date:</w:t>
      </w:r>
      <w:r w:rsidR="00086C2F">
        <w:rPr>
          <w:rFonts w:asciiTheme="minorHAnsi" w:hAnsiTheme="minorHAnsi"/>
          <w:sz w:val="24"/>
          <w:szCs w:val="24"/>
        </w:rPr>
        <w:t xml:space="preserve"> </w:t>
      </w:r>
      <w:r w:rsidR="00086C2F">
        <w:rPr>
          <w:rFonts w:asciiTheme="minorHAnsi" w:hAnsiTheme="minorHAnsi"/>
          <w:b/>
          <w:bCs/>
          <w:i/>
          <w:iCs/>
          <w:sz w:val="24"/>
          <w:szCs w:val="24"/>
        </w:rPr>
        <w:t>(2017)</w:t>
      </w:r>
    </w:p>
    <w:p w:rsidR="004E6547" w:rsidRPr="00086C2F" w:rsidRDefault="004E6547">
      <w:pPr>
        <w:rPr>
          <w:rFonts w:asciiTheme="minorHAnsi" w:hAnsiTheme="minorHAnsi" w:cstheme="minorHAnsi"/>
          <w:sz w:val="24"/>
          <w:szCs w:val="24"/>
        </w:rPr>
      </w:pPr>
    </w:p>
    <w:tbl>
      <w:tblPr>
        <w:tblStyle w:val="ColorfulShading-Accent5"/>
        <w:tblW w:w="0" w:type="auto"/>
        <w:tblLook w:val="04A0"/>
      </w:tblPr>
      <w:tblGrid>
        <w:gridCol w:w="1848"/>
        <w:gridCol w:w="1848"/>
        <w:gridCol w:w="1848"/>
        <w:gridCol w:w="1849"/>
        <w:gridCol w:w="1849"/>
      </w:tblGrid>
      <w:tr w:rsidR="00086C2F" w:rsidTr="00086C2F">
        <w:trPr>
          <w:cnfStyle w:val="100000000000"/>
          <w:trHeight w:val="432"/>
        </w:trPr>
        <w:tc>
          <w:tcPr>
            <w:cnfStyle w:val="001000000100"/>
            <w:tcW w:w="1848" w:type="dxa"/>
          </w:tcPr>
          <w:p w:rsidR="00086C2F" w:rsidRDefault="00086C2F" w:rsidP="00086C2F">
            <w:pPr>
              <w:pStyle w:val="Heading2"/>
              <w:jc w:val="left"/>
              <w:outlineLvl w:val="1"/>
              <w:rPr>
                <w:rFonts w:asciiTheme="minorHAnsi" w:hAnsiTheme="minorHAnsi" w:cstheme="minorHAnsi"/>
                <w:szCs w:val="24"/>
              </w:rPr>
            </w:pPr>
            <w:r>
              <w:rPr>
                <w:rFonts w:asciiTheme="minorHAnsi" w:hAnsiTheme="minorHAnsi" w:cstheme="minorHAnsi"/>
                <w:szCs w:val="24"/>
              </w:rPr>
              <w:sym w:font="Wingdings 2" w:char="F0A3"/>
            </w:r>
            <w:r>
              <w:rPr>
                <w:rFonts w:asciiTheme="minorHAnsi" w:hAnsiTheme="minorHAnsi" w:cstheme="minorHAnsi"/>
                <w:szCs w:val="24"/>
              </w:rPr>
              <w:t xml:space="preserve">  13 FEB</w:t>
            </w:r>
          </w:p>
        </w:tc>
        <w:tc>
          <w:tcPr>
            <w:tcW w:w="1848" w:type="dxa"/>
          </w:tcPr>
          <w:p w:rsidR="00086C2F" w:rsidRDefault="00086C2F" w:rsidP="00086C2F">
            <w:pPr>
              <w:pStyle w:val="Heading2"/>
              <w:jc w:val="left"/>
              <w:outlineLvl w:val="1"/>
              <w:cnfStyle w:val="100000000000"/>
              <w:rPr>
                <w:rFonts w:asciiTheme="minorHAnsi" w:hAnsiTheme="minorHAnsi" w:cstheme="minorHAnsi"/>
                <w:szCs w:val="24"/>
              </w:rPr>
            </w:pPr>
            <w:r>
              <w:rPr>
                <w:rFonts w:asciiTheme="minorHAnsi" w:hAnsiTheme="minorHAnsi" w:cstheme="minorHAnsi"/>
                <w:szCs w:val="24"/>
              </w:rPr>
              <w:sym w:font="Wingdings 2" w:char="F0A3"/>
            </w:r>
            <w:r>
              <w:rPr>
                <w:rFonts w:asciiTheme="minorHAnsi" w:hAnsiTheme="minorHAnsi" w:cstheme="minorHAnsi"/>
                <w:szCs w:val="24"/>
              </w:rPr>
              <w:t xml:space="preserve">  13 MAR</w:t>
            </w:r>
          </w:p>
        </w:tc>
        <w:tc>
          <w:tcPr>
            <w:tcW w:w="1848" w:type="dxa"/>
          </w:tcPr>
          <w:p w:rsidR="00086C2F" w:rsidRDefault="00086C2F" w:rsidP="00086C2F">
            <w:pPr>
              <w:pStyle w:val="Heading2"/>
              <w:jc w:val="left"/>
              <w:outlineLvl w:val="1"/>
              <w:cnfStyle w:val="100000000000"/>
              <w:rPr>
                <w:rFonts w:asciiTheme="minorHAnsi" w:hAnsiTheme="minorHAnsi" w:cstheme="minorHAnsi"/>
                <w:szCs w:val="24"/>
              </w:rPr>
            </w:pPr>
            <w:r>
              <w:rPr>
                <w:rFonts w:asciiTheme="minorHAnsi" w:hAnsiTheme="minorHAnsi" w:cstheme="minorHAnsi"/>
                <w:szCs w:val="24"/>
              </w:rPr>
              <w:sym w:font="Wingdings 2" w:char="F0A3"/>
            </w:r>
            <w:r>
              <w:rPr>
                <w:rFonts w:asciiTheme="minorHAnsi" w:hAnsiTheme="minorHAnsi" w:cstheme="minorHAnsi"/>
                <w:szCs w:val="24"/>
              </w:rPr>
              <w:t xml:space="preserve">  03 APR</w:t>
            </w:r>
          </w:p>
        </w:tc>
        <w:tc>
          <w:tcPr>
            <w:tcW w:w="1849" w:type="dxa"/>
          </w:tcPr>
          <w:p w:rsidR="00086C2F" w:rsidRDefault="00086C2F" w:rsidP="00086C2F">
            <w:pPr>
              <w:pStyle w:val="Heading2"/>
              <w:jc w:val="left"/>
              <w:outlineLvl w:val="1"/>
              <w:cnfStyle w:val="100000000000"/>
              <w:rPr>
                <w:rFonts w:asciiTheme="minorHAnsi" w:hAnsiTheme="minorHAnsi" w:cstheme="minorHAnsi"/>
                <w:szCs w:val="24"/>
              </w:rPr>
            </w:pPr>
            <w:r>
              <w:rPr>
                <w:rFonts w:asciiTheme="minorHAnsi" w:hAnsiTheme="minorHAnsi" w:cstheme="minorHAnsi"/>
                <w:szCs w:val="24"/>
              </w:rPr>
              <w:sym w:font="Wingdings 2" w:char="F0A3"/>
            </w:r>
            <w:r>
              <w:rPr>
                <w:rFonts w:asciiTheme="minorHAnsi" w:hAnsiTheme="minorHAnsi" w:cstheme="minorHAnsi"/>
                <w:szCs w:val="24"/>
              </w:rPr>
              <w:t xml:space="preserve">  22 MAY</w:t>
            </w:r>
          </w:p>
        </w:tc>
        <w:tc>
          <w:tcPr>
            <w:tcW w:w="1849" w:type="dxa"/>
          </w:tcPr>
          <w:p w:rsidR="00086C2F" w:rsidRDefault="00086C2F" w:rsidP="00086C2F">
            <w:pPr>
              <w:pStyle w:val="Heading2"/>
              <w:jc w:val="left"/>
              <w:outlineLvl w:val="1"/>
              <w:cnfStyle w:val="100000000000"/>
              <w:rPr>
                <w:rFonts w:asciiTheme="minorHAnsi" w:hAnsiTheme="minorHAnsi" w:cstheme="minorHAnsi"/>
                <w:szCs w:val="24"/>
              </w:rPr>
            </w:pPr>
            <w:r>
              <w:rPr>
                <w:rFonts w:asciiTheme="minorHAnsi" w:hAnsiTheme="minorHAnsi" w:cstheme="minorHAnsi"/>
                <w:szCs w:val="24"/>
              </w:rPr>
              <w:sym w:font="Wingdings 2" w:char="F0A3"/>
            </w:r>
            <w:r>
              <w:rPr>
                <w:rFonts w:asciiTheme="minorHAnsi" w:hAnsiTheme="minorHAnsi" w:cstheme="minorHAnsi"/>
                <w:szCs w:val="24"/>
              </w:rPr>
              <w:t xml:space="preserve">  19 JUN</w:t>
            </w:r>
          </w:p>
        </w:tc>
      </w:tr>
    </w:tbl>
    <w:p w:rsidR="004E6547" w:rsidRDefault="005779AB" w:rsidP="00E76169">
      <w:pPr>
        <w:rPr>
          <w:rFonts w:asciiTheme="minorHAnsi" w:hAnsiTheme="minorHAnsi"/>
          <w:sz w:val="24"/>
          <w:szCs w:val="24"/>
        </w:rPr>
      </w:pPr>
      <w:r w:rsidRPr="005779AB">
        <w:rPr>
          <w:rFonts w:asciiTheme="minorHAnsi" w:hAnsiTheme="minorHAnsi"/>
          <w:noProof/>
          <w:color w:val="548DD4" w:themeColor="text2" w:themeTint="99"/>
          <w:sz w:val="24"/>
          <w:szCs w:val="24"/>
          <w:lang w:val="en-US"/>
        </w:rPr>
        <w:pict>
          <v:shape id="_x0000_s1057" type="#_x0000_t55" style="position:absolute;margin-left:-17.8pt;margin-top:12.5pt;width:11.05pt;height:16.85pt;z-index:251656192;mso-position-horizontal-relative:text;mso-position-vertical-relative:text" strokecolor="#548dd4"/>
        </w:pict>
      </w:r>
    </w:p>
    <w:p w:rsidR="00E76169" w:rsidRPr="004E6547" w:rsidRDefault="004E6547" w:rsidP="00E76169">
      <w:pPr>
        <w:rPr>
          <w:rFonts w:asciiTheme="minorHAnsi" w:hAnsiTheme="minorHAnsi"/>
          <w:sz w:val="24"/>
          <w:szCs w:val="24"/>
        </w:rPr>
      </w:pPr>
      <w:r w:rsidRPr="004E6547">
        <w:rPr>
          <w:rFonts w:asciiTheme="minorHAnsi" w:hAnsiTheme="minorHAnsi"/>
          <w:sz w:val="24"/>
          <w:szCs w:val="24"/>
        </w:rPr>
        <w:t>Details:</w:t>
      </w:r>
    </w:p>
    <w:p w:rsidR="00E76169" w:rsidRDefault="00E76169" w:rsidP="00E76169"/>
    <w:tbl>
      <w:tblPr>
        <w:tblW w:w="0" w:type="auto"/>
        <w:tblLayout w:type="fixed"/>
        <w:tblLook w:val="04A0"/>
      </w:tblPr>
      <w:tblGrid>
        <w:gridCol w:w="2298"/>
        <w:gridCol w:w="284"/>
        <w:gridCol w:w="6280"/>
      </w:tblGrid>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Name of Participant</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Designation</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NRIC / Passport #</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Name of Company</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Address of Company</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p>
        </w:tc>
        <w:tc>
          <w:tcPr>
            <w:tcW w:w="284" w:type="dxa"/>
            <w:vAlign w:val="center"/>
          </w:tcPr>
          <w:p w:rsidR="00E76169" w:rsidRPr="00E76169" w:rsidRDefault="00E76169" w:rsidP="00D102CC">
            <w:pPr>
              <w:rPr>
                <w:rFonts w:asciiTheme="minorHAnsi" w:hAnsiTheme="minorHAnsi"/>
                <w:sz w:val="24"/>
                <w:szCs w:val="24"/>
                <w:lang w:val="en-US"/>
              </w:rPr>
            </w:pP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Contact Person &amp; Designation</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Tel.#</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Fax #</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E-mail</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bl>
    <w:p w:rsidR="00E76169" w:rsidRDefault="00E76169" w:rsidP="00E76169"/>
    <w:p w:rsidR="00E76169" w:rsidRDefault="00E76169" w:rsidP="00E76169"/>
    <w:p w:rsidR="001969FF" w:rsidRDefault="005779AB" w:rsidP="00C97D66">
      <w:pPr>
        <w:jc w:val="center"/>
        <w:rPr>
          <w:rFonts w:asciiTheme="minorHAnsi" w:hAnsiTheme="minorHAnsi"/>
          <w:noProof/>
          <w:sz w:val="24"/>
          <w:szCs w:val="24"/>
          <w:lang w:val="en-US"/>
        </w:rPr>
      </w:pPr>
      <w:r>
        <w:rPr>
          <w:rFonts w:asciiTheme="minorHAnsi" w:hAnsiTheme="minorHAnsi"/>
          <w:noProof/>
          <w:sz w:val="24"/>
          <w:szCs w:val="24"/>
          <w:lang w:val="en-US"/>
        </w:rPr>
        <w:pict>
          <v:shape id="_x0000_s1062" type="#_x0000_t55" style="position:absolute;left:0;text-align:left;margin-left:-17.8pt;margin-top:.2pt;width:11.05pt;height:16.85pt;z-index:251667456" strokecolor="#548dd4"/>
        </w:pict>
      </w:r>
      <w:r w:rsidR="00C97D66" w:rsidRPr="00E94F5F">
        <w:rPr>
          <w:rFonts w:asciiTheme="minorHAnsi" w:hAnsiTheme="minorHAnsi"/>
          <w:noProof/>
          <w:sz w:val="24"/>
          <w:szCs w:val="24"/>
          <w:lang w:val="en-US"/>
        </w:rPr>
        <w:t xml:space="preserve">TO REGISTER, </w:t>
      </w:r>
    </w:p>
    <w:p w:rsidR="001969FF" w:rsidRDefault="00C97D66" w:rsidP="00C97D66">
      <w:pPr>
        <w:jc w:val="center"/>
        <w:rPr>
          <w:rFonts w:asciiTheme="minorHAnsi" w:hAnsiTheme="minorHAnsi"/>
          <w:noProof/>
          <w:sz w:val="24"/>
          <w:szCs w:val="24"/>
          <w:lang w:val="en-US"/>
        </w:rPr>
      </w:pPr>
      <w:r w:rsidRPr="00E94F5F">
        <w:rPr>
          <w:rFonts w:asciiTheme="minorHAnsi" w:hAnsiTheme="minorHAnsi"/>
          <w:noProof/>
          <w:sz w:val="24"/>
          <w:szCs w:val="24"/>
          <w:lang w:val="en-US"/>
        </w:rPr>
        <w:t>PLEASE CALL</w:t>
      </w:r>
      <w:r w:rsidR="001969FF">
        <w:rPr>
          <w:rFonts w:asciiTheme="minorHAnsi" w:hAnsiTheme="minorHAnsi"/>
          <w:noProof/>
          <w:sz w:val="24"/>
          <w:szCs w:val="24"/>
          <w:lang w:val="en-US"/>
        </w:rPr>
        <w:t xml:space="preserve"> 03-7958 8001 / 03-7958 8002 OR</w:t>
      </w:r>
    </w:p>
    <w:p w:rsidR="001969FF" w:rsidRDefault="00C97D66" w:rsidP="00C97D66">
      <w:pPr>
        <w:jc w:val="center"/>
        <w:rPr>
          <w:rFonts w:asciiTheme="minorHAnsi" w:hAnsiTheme="minorHAnsi"/>
          <w:noProof/>
          <w:sz w:val="24"/>
          <w:szCs w:val="24"/>
          <w:lang w:val="en-US"/>
        </w:rPr>
      </w:pPr>
      <w:r w:rsidRPr="00E94F5F">
        <w:rPr>
          <w:rFonts w:asciiTheme="minorHAnsi" w:hAnsiTheme="minorHAnsi"/>
          <w:noProof/>
          <w:sz w:val="24"/>
          <w:szCs w:val="24"/>
          <w:lang w:val="en-US"/>
        </w:rPr>
        <w:t>FAX REGISTRATION FORM TO:</w:t>
      </w:r>
      <w:r w:rsidR="001969FF">
        <w:rPr>
          <w:rFonts w:asciiTheme="minorHAnsi" w:hAnsiTheme="minorHAnsi"/>
          <w:noProof/>
          <w:sz w:val="24"/>
          <w:szCs w:val="24"/>
          <w:lang w:val="en-US"/>
        </w:rPr>
        <w:t xml:space="preserve"> </w:t>
      </w:r>
      <w:r w:rsidR="00A72244">
        <w:rPr>
          <w:rFonts w:asciiTheme="minorHAnsi" w:hAnsiTheme="minorHAnsi"/>
          <w:noProof/>
          <w:sz w:val="24"/>
          <w:szCs w:val="24"/>
          <w:lang w:val="en-US"/>
        </w:rPr>
        <w:t>03-7954 8001</w:t>
      </w:r>
      <w:r w:rsidRPr="00E94F5F">
        <w:rPr>
          <w:rFonts w:asciiTheme="minorHAnsi" w:hAnsiTheme="minorHAnsi"/>
          <w:noProof/>
          <w:sz w:val="24"/>
          <w:szCs w:val="24"/>
          <w:lang w:val="en-US"/>
        </w:rPr>
        <w:t xml:space="preserve"> OR</w:t>
      </w:r>
    </w:p>
    <w:p w:rsidR="00C97D66" w:rsidRPr="00C97D66" w:rsidRDefault="00C97D66" w:rsidP="00C97D66">
      <w:pPr>
        <w:jc w:val="center"/>
        <w:rPr>
          <w:rFonts w:asciiTheme="minorHAnsi" w:hAnsiTheme="minorHAnsi"/>
          <w:noProof/>
          <w:color w:val="548DD4" w:themeColor="text2" w:themeTint="99"/>
          <w:sz w:val="24"/>
          <w:szCs w:val="24"/>
          <w:lang w:val="en-US"/>
        </w:rPr>
      </w:pPr>
      <w:r w:rsidRPr="00E94F5F">
        <w:rPr>
          <w:rFonts w:asciiTheme="minorHAnsi" w:hAnsiTheme="minorHAnsi"/>
          <w:noProof/>
          <w:sz w:val="24"/>
          <w:szCs w:val="24"/>
          <w:lang w:val="en-US"/>
        </w:rPr>
        <w:t xml:space="preserve">E-MAIL TO: </w:t>
      </w:r>
      <w:r w:rsidR="009F2E1F">
        <w:rPr>
          <w:rFonts w:asciiTheme="minorHAnsi" w:hAnsiTheme="minorHAnsi"/>
          <w:noProof/>
          <w:sz w:val="24"/>
          <w:szCs w:val="24"/>
          <w:lang w:val="en-US"/>
        </w:rPr>
        <w:t>sophiah</w:t>
      </w:r>
      <w:r w:rsidRPr="00E94F5F">
        <w:rPr>
          <w:rFonts w:asciiTheme="minorHAnsi" w:hAnsiTheme="minorHAnsi"/>
          <w:noProof/>
          <w:sz w:val="24"/>
          <w:szCs w:val="24"/>
          <w:lang w:val="en-US"/>
        </w:rPr>
        <w:t>@bursatra.com.my</w:t>
      </w:r>
    </w:p>
    <w:p w:rsidR="00F83557" w:rsidRDefault="005779AB" w:rsidP="00E76169">
      <w:pPr>
        <w:jc w:val="center"/>
        <w:rPr>
          <w:rFonts w:asciiTheme="minorHAnsi" w:hAnsiTheme="minorHAnsi"/>
          <w:sz w:val="24"/>
          <w:szCs w:val="24"/>
        </w:rPr>
      </w:pPr>
      <w:r>
        <w:rPr>
          <w:rFonts w:asciiTheme="minorHAnsi" w:hAnsiTheme="minorHAnsi"/>
          <w:noProof/>
          <w:sz w:val="24"/>
          <w:szCs w:val="24"/>
          <w:lang w:val="en-US"/>
        </w:rPr>
        <w:pict>
          <v:shape id="_x0000_s1139" type="#_x0000_t185" style="position:absolute;left:0;text-align:left;margin-left:2.7pt;margin-top:9.05pt;width:460.8pt;height:53.05pt;z-index:-251568128" filled="t" fillcolor="#ffb9b9">
            <v:fill opacity="29491f"/>
            <v:textbox>
              <w:txbxContent>
                <w:p w:rsidR="00F83557" w:rsidRPr="00BC0460" w:rsidRDefault="00F83557" w:rsidP="00F83557">
                  <w:pPr>
                    <w:ind w:left="284"/>
                    <w:jc w:val="both"/>
                    <w:rPr>
                      <w:rFonts w:asciiTheme="minorHAnsi" w:hAnsiTheme="minorHAnsi"/>
                      <w:i/>
                      <w:sz w:val="20"/>
                    </w:rPr>
                  </w:pPr>
                  <w:r w:rsidRPr="00BC0460">
                    <w:rPr>
                      <w:rFonts w:asciiTheme="minorHAnsi" w:hAnsiTheme="minorHAnsi"/>
                      <w:i/>
                      <w:sz w:val="20"/>
                    </w:rPr>
                    <w:t>Postponement / Cancellation within seven (07) working days prior to the event are subject to a cancellation / postponement fee of 20%. Full amount of the registration fee(s) is chargeable for non-attendance of the participant(s).</w:t>
                  </w:r>
                </w:p>
                <w:p w:rsidR="00F83557" w:rsidRDefault="00F83557"/>
              </w:txbxContent>
            </v:textbox>
          </v:shape>
        </w:pict>
      </w:r>
    </w:p>
    <w:p w:rsidR="00F83557" w:rsidRDefault="00F83557" w:rsidP="00E76169">
      <w:pPr>
        <w:jc w:val="center"/>
        <w:rPr>
          <w:rFonts w:asciiTheme="minorHAnsi" w:hAnsiTheme="minorHAnsi"/>
          <w:sz w:val="24"/>
          <w:szCs w:val="24"/>
        </w:rPr>
      </w:pPr>
    </w:p>
    <w:p w:rsidR="00F83557" w:rsidRDefault="00F83557" w:rsidP="00E76169">
      <w:pPr>
        <w:jc w:val="center"/>
        <w:rPr>
          <w:rFonts w:asciiTheme="minorHAnsi" w:hAnsiTheme="minorHAnsi"/>
          <w:sz w:val="24"/>
          <w:szCs w:val="24"/>
        </w:rPr>
      </w:pPr>
    </w:p>
    <w:p w:rsidR="00E76169" w:rsidRDefault="00E76169" w:rsidP="00E76169">
      <w:pPr>
        <w:jc w:val="center"/>
        <w:rPr>
          <w:rFonts w:asciiTheme="minorHAnsi" w:hAnsiTheme="minorHAnsi"/>
          <w:sz w:val="24"/>
          <w:szCs w:val="24"/>
        </w:rPr>
      </w:pPr>
    </w:p>
    <w:p w:rsidR="00086C2F" w:rsidRDefault="00086C2F" w:rsidP="00E76169">
      <w:pPr>
        <w:jc w:val="center"/>
        <w:rPr>
          <w:rFonts w:asciiTheme="minorHAnsi" w:hAnsiTheme="minorHAnsi"/>
          <w:sz w:val="24"/>
          <w:szCs w:val="24"/>
        </w:rPr>
      </w:pPr>
    </w:p>
    <w:p w:rsidR="00F83557" w:rsidRPr="0036426E" w:rsidRDefault="0036426E" w:rsidP="00E76169">
      <w:pPr>
        <w:jc w:val="center"/>
        <w:rPr>
          <w:rFonts w:asciiTheme="minorHAnsi" w:hAnsiTheme="minorHAnsi"/>
          <w:i/>
          <w:iCs/>
          <w:sz w:val="20"/>
        </w:rPr>
      </w:pPr>
      <w:r w:rsidRPr="0036426E">
        <w:rPr>
          <w:rFonts w:asciiTheme="minorHAnsi" w:hAnsiTheme="minorHAnsi"/>
          <w:i/>
          <w:iCs/>
          <w:sz w:val="20"/>
        </w:rPr>
        <w:t>BURSATRA SDN BHD IS A REGISTERED TRAINING PROVIDER WITH PSMB (Reg. No: 520353-U)</w:t>
      </w:r>
    </w:p>
    <w:sectPr w:rsidR="00F83557" w:rsidRPr="0036426E" w:rsidSect="00086C2F">
      <w:type w:val="continuous"/>
      <w:pgSz w:w="11906" w:h="16838" w:code="9"/>
      <w:pgMar w:top="1440" w:right="1440" w:bottom="1440" w:left="1440" w:header="0" w:footer="0" w:gutter="0"/>
      <w:pgBorders w:offsetFrom="page">
        <w:top w:val="single" w:sz="4" w:space="24" w:color="auto"/>
        <w:left w:val="single" w:sz="4" w:space="24" w:color="auto"/>
        <w:bottom w:val="single" w:sz="4" w:space="24" w:color="auto"/>
        <w:right w:val="single" w:sz="4" w:space="24" w:color="auto"/>
      </w:pgBorders>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18A3" w:rsidRDefault="004318A3">
      <w:r>
        <w:separator/>
      </w:r>
    </w:p>
  </w:endnote>
  <w:endnote w:type="continuationSeparator" w:id="1">
    <w:p w:rsidR="004318A3" w:rsidRDefault="004318A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Segoe UI Semibold">
    <w:altName w:val="Arial"/>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Semilight">
    <w:panose1 w:val="020B04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169" w:rsidRPr="00E76169" w:rsidRDefault="00E76169" w:rsidP="008D6038">
    <w:pPr>
      <w:pStyle w:val="Footer"/>
      <w:jc w:val="center"/>
      <w:rPr>
        <w:i/>
        <w:color w:val="548DD4" w:themeColor="text2" w:themeTint="99"/>
      </w:rPr>
    </w:pPr>
    <w:r w:rsidRPr="00E76169">
      <w:rPr>
        <w:i/>
        <w:color w:val="548DD4" w:themeColor="text2" w:themeTint="99"/>
      </w:rPr>
      <w:t>Corporate Governance Management and Best Practices</w:t>
    </w:r>
  </w:p>
  <w:p w:rsidR="00E76169" w:rsidRDefault="00E761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169" w:rsidRPr="00E76169" w:rsidRDefault="00E76169" w:rsidP="008D6038">
    <w:pPr>
      <w:pStyle w:val="Footer"/>
      <w:jc w:val="center"/>
      <w:rPr>
        <w:i/>
        <w:color w:val="548DD4" w:themeColor="text2" w:themeTint="99"/>
      </w:rPr>
    </w:pPr>
    <w:r w:rsidRPr="00E76169">
      <w:rPr>
        <w:i/>
        <w:color w:val="548DD4" w:themeColor="text2" w:themeTint="99"/>
      </w:rPr>
      <w:t>Corporate Governance Management and Best Practices</w:t>
    </w:r>
  </w:p>
  <w:p w:rsidR="00E76169" w:rsidRDefault="00E76169">
    <w:pPr>
      <w:pStyle w:val="Footer"/>
    </w:pPr>
  </w:p>
  <w:p w:rsidR="00E76169" w:rsidRDefault="00E761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18A3" w:rsidRDefault="004318A3">
      <w:r>
        <w:separator/>
      </w:r>
    </w:p>
  </w:footnote>
  <w:footnote w:type="continuationSeparator" w:id="1">
    <w:p w:rsidR="004318A3" w:rsidRDefault="004318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547" w:rsidRDefault="005779A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1" o:spid="_x0000_s2053" type="#_x0000_t75" style="position:absolute;margin-left:0;margin-top:0;width:459.1pt;height:349.35pt;z-index:-251658752;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4B1" w:rsidRPr="006C5CB2" w:rsidRDefault="005779AB" w:rsidP="00C24690">
    <w:pPr>
      <w:pStyle w:val="Heading5"/>
      <w:ind w:left="-810" w:hanging="90"/>
      <w:rPr>
        <w:rFonts w:ascii="Century Gothic" w:hAnsi="Century Gothic"/>
        <w:i w:val="0"/>
        <w:iCs/>
        <w:sz w:val="24"/>
        <w:szCs w:val="24"/>
      </w:rPr>
    </w:pPr>
    <w:r w:rsidRPr="005779AB">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2" o:spid="_x0000_s2054" type="#_x0000_t75" style="position:absolute;left:0;text-align:left;margin-left:0;margin-top:0;width:459.1pt;height:349.35pt;z-index:-251657728;mso-position-horizontal:center;mso-position-horizontal-relative:margin;mso-position-vertical:center;mso-position-vertical-relative:margin" o:allowincell="f">
          <v:imagedata r:id="rId1" o:title="bursatra_logo" gain="19661f" blacklevel="22938f"/>
          <w10:wrap anchorx="margin" anchory="margin"/>
        </v:shape>
      </w:pict>
    </w:r>
    <w:r w:rsidR="005404B1">
      <w:tab/>
    </w:r>
  </w:p>
  <w:p w:rsidR="005404B1" w:rsidRPr="006C5CB2" w:rsidRDefault="005404B1" w:rsidP="006C5CB2"/>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547" w:rsidRDefault="005779A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0" o:spid="_x0000_s2052" type="#_x0000_t75" style="position:absolute;margin-left:0;margin-top:0;width:459.1pt;height:349.35pt;z-index:-251659776;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91A88"/>
    <w:multiLevelType w:val="hybridMultilevel"/>
    <w:tmpl w:val="AF68B93C"/>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F84EB6"/>
    <w:multiLevelType w:val="hybridMultilevel"/>
    <w:tmpl w:val="E08E5E2A"/>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E868FE"/>
    <w:multiLevelType w:val="hybridMultilevel"/>
    <w:tmpl w:val="39E21E48"/>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9F563A"/>
    <w:multiLevelType w:val="hybridMultilevel"/>
    <w:tmpl w:val="49A0CCE6"/>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BF1BF5"/>
    <w:multiLevelType w:val="hybridMultilevel"/>
    <w:tmpl w:val="9E1407B2"/>
    <w:lvl w:ilvl="0" w:tplc="482C3098">
      <w:numFmt w:val="bullet"/>
      <w:lvlText w:val="-"/>
      <w:lvlJc w:val="left"/>
      <w:pPr>
        <w:ind w:left="786" w:hanging="360"/>
      </w:pPr>
      <w:rPr>
        <w:rFonts w:ascii="Calibri" w:eastAsia="Times New Roman" w:hAnsi="Calibri"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nsid w:val="34C239AF"/>
    <w:multiLevelType w:val="hybridMultilevel"/>
    <w:tmpl w:val="3D4A8DC8"/>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156B5C"/>
    <w:multiLevelType w:val="hybridMultilevel"/>
    <w:tmpl w:val="E5DCA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180A3F"/>
    <w:multiLevelType w:val="hybridMultilevel"/>
    <w:tmpl w:val="881E874E"/>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8D200A"/>
    <w:multiLevelType w:val="hybridMultilevel"/>
    <w:tmpl w:val="8E909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1213CE"/>
    <w:multiLevelType w:val="hybridMultilevel"/>
    <w:tmpl w:val="5EC64AB4"/>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86625C"/>
    <w:multiLevelType w:val="hybridMultilevel"/>
    <w:tmpl w:val="49F0D3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FC31BC"/>
    <w:multiLevelType w:val="hybridMultilevel"/>
    <w:tmpl w:val="609CC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0965AF"/>
    <w:multiLevelType w:val="hybridMultilevel"/>
    <w:tmpl w:val="78AE474C"/>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C0C484E"/>
    <w:multiLevelType w:val="hybridMultilevel"/>
    <w:tmpl w:val="4F168AA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747452E2"/>
    <w:multiLevelType w:val="hybridMultilevel"/>
    <w:tmpl w:val="CB680B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4"/>
  </w:num>
  <w:num w:numId="3">
    <w:abstractNumId w:val="13"/>
  </w:num>
  <w:num w:numId="4">
    <w:abstractNumId w:val="8"/>
  </w:num>
  <w:num w:numId="5">
    <w:abstractNumId w:val="1"/>
  </w:num>
  <w:num w:numId="6">
    <w:abstractNumId w:val="12"/>
  </w:num>
  <w:num w:numId="7">
    <w:abstractNumId w:val="5"/>
  </w:num>
  <w:num w:numId="8">
    <w:abstractNumId w:val="3"/>
  </w:num>
  <w:num w:numId="9">
    <w:abstractNumId w:val="2"/>
  </w:num>
  <w:num w:numId="10">
    <w:abstractNumId w:val="0"/>
  </w:num>
  <w:num w:numId="11">
    <w:abstractNumId w:val="11"/>
  </w:num>
  <w:num w:numId="12">
    <w:abstractNumId w:val="6"/>
  </w:num>
  <w:num w:numId="13">
    <w:abstractNumId w:val="9"/>
  </w:num>
  <w:num w:numId="14">
    <w:abstractNumId w:val="7"/>
  </w:num>
  <w:num w:numId="15">
    <w:abstractNumId w:val="1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720"/>
  <w:drawingGridHorizontalSpacing w:val="110"/>
  <w:displayHorizontalDrawingGridEvery w:val="0"/>
  <w:displayVerticalDrawingGridEvery w:val="0"/>
  <w:noPunctuationKerning/>
  <w:characterSpacingControl w:val="doNotCompress"/>
  <w:hdrShapeDefaults>
    <o:shapedefaults v:ext="edit" spidmax="35842">
      <o:colormru v:ext="edit" colors="#eaeaea,aqua,#ffb9b9"/>
      <o:colormenu v:ext="edit" fillcolor="#ffb9b9" strokecolor="none"/>
    </o:shapedefaults>
    <o:shapelayout v:ext="edit">
      <o:idmap v:ext="edit" data="2"/>
    </o:shapelayout>
  </w:hdrShapeDefaults>
  <w:footnotePr>
    <w:footnote w:id="0"/>
    <w:footnote w:id="1"/>
  </w:footnotePr>
  <w:endnotePr>
    <w:endnote w:id="0"/>
    <w:endnote w:id="1"/>
  </w:endnotePr>
  <w:compat/>
  <w:rsids>
    <w:rsidRoot w:val="0027004C"/>
    <w:rsid w:val="00027834"/>
    <w:rsid w:val="00030DBF"/>
    <w:rsid w:val="000326D8"/>
    <w:rsid w:val="0005161D"/>
    <w:rsid w:val="00052E16"/>
    <w:rsid w:val="0005342B"/>
    <w:rsid w:val="000552B0"/>
    <w:rsid w:val="00062A25"/>
    <w:rsid w:val="0007186D"/>
    <w:rsid w:val="00075DF3"/>
    <w:rsid w:val="00081B8C"/>
    <w:rsid w:val="00082CA1"/>
    <w:rsid w:val="00086C2F"/>
    <w:rsid w:val="00093A93"/>
    <w:rsid w:val="000B2E94"/>
    <w:rsid w:val="000C4D0F"/>
    <w:rsid w:val="000D35F4"/>
    <w:rsid w:val="000D57B6"/>
    <w:rsid w:val="000D5EF0"/>
    <w:rsid w:val="000D6092"/>
    <w:rsid w:val="000D7E9F"/>
    <w:rsid w:val="000E00EA"/>
    <w:rsid w:val="000E1528"/>
    <w:rsid w:val="000E7423"/>
    <w:rsid w:val="000F18B0"/>
    <w:rsid w:val="000F1D91"/>
    <w:rsid w:val="000F7359"/>
    <w:rsid w:val="001012CF"/>
    <w:rsid w:val="00101374"/>
    <w:rsid w:val="00104CCA"/>
    <w:rsid w:val="00104DC9"/>
    <w:rsid w:val="00111448"/>
    <w:rsid w:val="00116013"/>
    <w:rsid w:val="00120F5D"/>
    <w:rsid w:val="001215E3"/>
    <w:rsid w:val="001235DF"/>
    <w:rsid w:val="00133138"/>
    <w:rsid w:val="0013504A"/>
    <w:rsid w:val="001361FB"/>
    <w:rsid w:val="00136C30"/>
    <w:rsid w:val="00137940"/>
    <w:rsid w:val="00141FD8"/>
    <w:rsid w:val="001425E0"/>
    <w:rsid w:val="00147163"/>
    <w:rsid w:val="001477AC"/>
    <w:rsid w:val="00154BFB"/>
    <w:rsid w:val="00166D1E"/>
    <w:rsid w:val="00173979"/>
    <w:rsid w:val="001836DC"/>
    <w:rsid w:val="00190E5B"/>
    <w:rsid w:val="00191FD2"/>
    <w:rsid w:val="00192589"/>
    <w:rsid w:val="001925E8"/>
    <w:rsid w:val="00195DEF"/>
    <w:rsid w:val="001969FF"/>
    <w:rsid w:val="001A0977"/>
    <w:rsid w:val="001A51E4"/>
    <w:rsid w:val="001B0969"/>
    <w:rsid w:val="001B1580"/>
    <w:rsid w:val="001B270D"/>
    <w:rsid w:val="001B32E6"/>
    <w:rsid w:val="001B5FBC"/>
    <w:rsid w:val="001C4AE0"/>
    <w:rsid w:val="001C76A8"/>
    <w:rsid w:val="001D0408"/>
    <w:rsid w:val="001D16B0"/>
    <w:rsid w:val="001D318D"/>
    <w:rsid w:val="001D7F7C"/>
    <w:rsid w:val="001E5017"/>
    <w:rsid w:val="001F1B32"/>
    <w:rsid w:val="001F4086"/>
    <w:rsid w:val="00203871"/>
    <w:rsid w:val="00204A3F"/>
    <w:rsid w:val="00204BB5"/>
    <w:rsid w:val="002056C2"/>
    <w:rsid w:val="00214F22"/>
    <w:rsid w:val="00216333"/>
    <w:rsid w:val="0022291C"/>
    <w:rsid w:val="00223866"/>
    <w:rsid w:val="00234B22"/>
    <w:rsid w:val="0024105E"/>
    <w:rsid w:val="002473F6"/>
    <w:rsid w:val="002513A9"/>
    <w:rsid w:val="00254A86"/>
    <w:rsid w:val="00257F18"/>
    <w:rsid w:val="002615DC"/>
    <w:rsid w:val="00261F6C"/>
    <w:rsid w:val="00263515"/>
    <w:rsid w:val="0027004C"/>
    <w:rsid w:val="00271DB0"/>
    <w:rsid w:val="00273912"/>
    <w:rsid w:val="00275ABC"/>
    <w:rsid w:val="002847B9"/>
    <w:rsid w:val="00285033"/>
    <w:rsid w:val="002858FE"/>
    <w:rsid w:val="0028704E"/>
    <w:rsid w:val="002922F8"/>
    <w:rsid w:val="00292CBC"/>
    <w:rsid w:val="00294201"/>
    <w:rsid w:val="00294AB9"/>
    <w:rsid w:val="002960C2"/>
    <w:rsid w:val="002963BA"/>
    <w:rsid w:val="00296D32"/>
    <w:rsid w:val="002A2C29"/>
    <w:rsid w:val="002A4F34"/>
    <w:rsid w:val="002B2C67"/>
    <w:rsid w:val="002C286F"/>
    <w:rsid w:val="002D152D"/>
    <w:rsid w:val="002D40CE"/>
    <w:rsid w:val="002D76A9"/>
    <w:rsid w:val="002E6DF0"/>
    <w:rsid w:val="002E6DF1"/>
    <w:rsid w:val="002F32AA"/>
    <w:rsid w:val="002F629E"/>
    <w:rsid w:val="002F679A"/>
    <w:rsid w:val="003215CC"/>
    <w:rsid w:val="00323457"/>
    <w:rsid w:val="003300F6"/>
    <w:rsid w:val="003324DF"/>
    <w:rsid w:val="00336392"/>
    <w:rsid w:val="0034120C"/>
    <w:rsid w:val="00342A8B"/>
    <w:rsid w:val="00350723"/>
    <w:rsid w:val="0035263B"/>
    <w:rsid w:val="0036426E"/>
    <w:rsid w:val="00365E83"/>
    <w:rsid w:val="003670C1"/>
    <w:rsid w:val="003673E3"/>
    <w:rsid w:val="003712FB"/>
    <w:rsid w:val="003739F2"/>
    <w:rsid w:val="00383D4B"/>
    <w:rsid w:val="00387325"/>
    <w:rsid w:val="00387974"/>
    <w:rsid w:val="00387DD8"/>
    <w:rsid w:val="003930BC"/>
    <w:rsid w:val="00394B45"/>
    <w:rsid w:val="003954D3"/>
    <w:rsid w:val="00396CCE"/>
    <w:rsid w:val="003A2DB5"/>
    <w:rsid w:val="003A7382"/>
    <w:rsid w:val="003A7E8F"/>
    <w:rsid w:val="003B0F4B"/>
    <w:rsid w:val="003B3940"/>
    <w:rsid w:val="003B49DF"/>
    <w:rsid w:val="003C4202"/>
    <w:rsid w:val="003E086B"/>
    <w:rsid w:val="003E2AB7"/>
    <w:rsid w:val="003F3712"/>
    <w:rsid w:val="003F38C1"/>
    <w:rsid w:val="003F41F3"/>
    <w:rsid w:val="003F681A"/>
    <w:rsid w:val="003F6F40"/>
    <w:rsid w:val="003F7192"/>
    <w:rsid w:val="004032DA"/>
    <w:rsid w:val="00403F1F"/>
    <w:rsid w:val="0040695E"/>
    <w:rsid w:val="00410606"/>
    <w:rsid w:val="00410B3A"/>
    <w:rsid w:val="00414805"/>
    <w:rsid w:val="004318A3"/>
    <w:rsid w:val="00443702"/>
    <w:rsid w:val="0044426B"/>
    <w:rsid w:val="004458E8"/>
    <w:rsid w:val="00445F40"/>
    <w:rsid w:val="004531DD"/>
    <w:rsid w:val="0045628D"/>
    <w:rsid w:val="004646C8"/>
    <w:rsid w:val="00480037"/>
    <w:rsid w:val="00480CCF"/>
    <w:rsid w:val="00481A04"/>
    <w:rsid w:val="00483525"/>
    <w:rsid w:val="004927E5"/>
    <w:rsid w:val="00494F68"/>
    <w:rsid w:val="00495E8E"/>
    <w:rsid w:val="004A3CE9"/>
    <w:rsid w:val="004B0856"/>
    <w:rsid w:val="004B1463"/>
    <w:rsid w:val="004B250B"/>
    <w:rsid w:val="004B332B"/>
    <w:rsid w:val="004D135F"/>
    <w:rsid w:val="004D5038"/>
    <w:rsid w:val="004E0773"/>
    <w:rsid w:val="004E6547"/>
    <w:rsid w:val="004E68AD"/>
    <w:rsid w:val="004E71E2"/>
    <w:rsid w:val="004F0317"/>
    <w:rsid w:val="004F74FF"/>
    <w:rsid w:val="00502E5F"/>
    <w:rsid w:val="0051007A"/>
    <w:rsid w:val="00517605"/>
    <w:rsid w:val="005234A8"/>
    <w:rsid w:val="005335E3"/>
    <w:rsid w:val="0053521C"/>
    <w:rsid w:val="005404B1"/>
    <w:rsid w:val="00541103"/>
    <w:rsid w:val="005451F7"/>
    <w:rsid w:val="005632EC"/>
    <w:rsid w:val="00567340"/>
    <w:rsid w:val="00571075"/>
    <w:rsid w:val="005711E9"/>
    <w:rsid w:val="005746AE"/>
    <w:rsid w:val="00577284"/>
    <w:rsid w:val="005779AB"/>
    <w:rsid w:val="0058399C"/>
    <w:rsid w:val="00591A8D"/>
    <w:rsid w:val="005A141B"/>
    <w:rsid w:val="005A54CD"/>
    <w:rsid w:val="005B4547"/>
    <w:rsid w:val="005C0E7A"/>
    <w:rsid w:val="005C4764"/>
    <w:rsid w:val="005C48F4"/>
    <w:rsid w:val="005C5500"/>
    <w:rsid w:val="005C586A"/>
    <w:rsid w:val="005C5AE7"/>
    <w:rsid w:val="005D08A3"/>
    <w:rsid w:val="005D2163"/>
    <w:rsid w:val="005D5314"/>
    <w:rsid w:val="005F08AF"/>
    <w:rsid w:val="005F0F2C"/>
    <w:rsid w:val="005F2DFF"/>
    <w:rsid w:val="005F558A"/>
    <w:rsid w:val="00600FF7"/>
    <w:rsid w:val="00602845"/>
    <w:rsid w:val="006046A5"/>
    <w:rsid w:val="0060789A"/>
    <w:rsid w:val="00615775"/>
    <w:rsid w:val="006224C3"/>
    <w:rsid w:val="006238E6"/>
    <w:rsid w:val="006265D7"/>
    <w:rsid w:val="00626ECB"/>
    <w:rsid w:val="00626F3F"/>
    <w:rsid w:val="00631163"/>
    <w:rsid w:val="00634316"/>
    <w:rsid w:val="00634AFA"/>
    <w:rsid w:val="00641D28"/>
    <w:rsid w:val="00642964"/>
    <w:rsid w:val="006435A7"/>
    <w:rsid w:val="00646440"/>
    <w:rsid w:val="00646582"/>
    <w:rsid w:val="006479E6"/>
    <w:rsid w:val="006504C0"/>
    <w:rsid w:val="00650566"/>
    <w:rsid w:val="00660E13"/>
    <w:rsid w:val="00662851"/>
    <w:rsid w:val="0066434D"/>
    <w:rsid w:val="00670C30"/>
    <w:rsid w:val="0067124E"/>
    <w:rsid w:val="00671D35"/>
    <w:rsid w:val="00672847"/>
    <w:rsid w:val="00675E1C"/>
    <w:rsid w:val="0067733A"/>
    <w:rsid w:val="006807E9"/>
    <w:rsid w:val="00683D68"/>
    <w:rsid w:val="00687724"/>
    <w:rsid w:val="00692BA4"/>
    <w:rsid w:val="0069358A"/>
    <w:rsid w:val="00693D58"/>
    <w:rsid w:val="00696AB3"/>
    <w:rsid w:val="006A1CE8"/>
    <w:rsid w:val="006A299A"/>
    <w:rsid w:val="006B11CB"/>
    <w:rsid w:val="006C21AD"/>
    <w:rsid w:val="006C3FD2"/>
    <w:rsid w:val="006C5CB2"/>
    <w:rsid w:val="006D77A2"/>
    <w:rsid w:val="006E2F0B"/>
    <w:rsid w:val="006F5FAE"/>
    <w:rsid w:val="00700815"/>
    <w:rsid w:val="0070458F"/>
    <w:rsid w:val="007063EE"/>
    <w:rsid w:val="00706FF6"/>
    <w:rsid w:val="007137FB"/>
    <w:rsid w:val="007158D1"/>
    <w:rsid w:val="00722C3F"/>
    <w:rsid w:val="00726DBB"/>
    <w:rsid w:val="0074177E"/>
    <w:rsid w:val="00742723"/>
    <w:rsid w:val="007466BC"/>
    <w:rsid w:val="00754601"/>
    <w:rsid w:val="00764168"/>
    <w:rsid w:val="00782EDD"/>
    <w:rsid w:val="00784BD4"/>
    <w:rsid w:val="0079258D"/>
    <w:rsid w:val="007A38E3"/>
    <w:rsid w:val="007A60B4"/>
    <w:rsid w:val="007B4216"/>
    <w:rsid w:val="007C300D"/>
    <w:rsid w:val="007D230C"/>
    <w:rsid w:val="007D4BE4"/>
    <w:rsid w:val="007D5284"/>
    <w:rsid w:val="007E12DD"/>
    <w:rsid w:val="007E7961"/>
    <w:rsid w:val="007F0032"/>
    <w:rsid w:val="007F3A4E"/>
    <w:rsid w:val="007F3B5C"/>
    <w:rsid w:val="007F4878"/>
    <w:rsid w:val="007F4C9F"/>
    <w:rsid w:val="007F7B3F"/>
    <w:rsid w:val="00800675"/>
    <w:rsid w:val="00804D0E"/>
    <w:rsid w:val="00815491"/>
    <w:rsid w:val="0082324A"/>
    <w:rsid w:val="008245A3"/>
    <w:rsid w:val="008302DC"/>
    <w:rsid w:val="008334F3"/>
    <w:rsid w:val="0083372F"/>
    <w:rsid w:val="00857F0B"/>
    <w:rsid w:val="008625D4"/>
    <w:rsid w:val="0087164E"/>
    <w:rsid w:val="00873998"/>
    <w:rsid w:val="00880F11"/>
    <w:rsid w:val="00882E02"/>
    <w:rsid w:val="00885384"/>
    <w:rsid w:val="00886436"/>
    <w:rsid w:val="00893FF6"/>
    <w:rsid w:val="008A36B4"/>
    <w:rsid w:val="008A7D0C"/>
    <w:rsid w:val="008B4B1E"/>
    <w:rsid w:val="008B4D1B"/>
    <w:rsid w:val="008C68AB"/>
    <w:rsid w:val="008C6E67"/>
    <w:rsid w:val="008D59F1"/>
    <w:rsid w:val="008D6038"/>
    <w:rsid w:val="008D7012"/>
    <w:rsid w:val="008E37B0"/>
    <w:rsid w:val="008E3F3A"/>
    <w:rsid w:val="008E7A32"/>
    <w:rsid w:val="008E7FAA"/>
    <w:rsid w:val="008F2072"/>
    <w:rsid w:val="008F2F30"/>
    <w:rsid w:val="008F6F19"/>
    <w:rsid w:val="00900A42"/>
    <w:rsid w:val="009069EE"/>
    <w:rsid w:val="00911B27"/>
    <w:rsid w:val="00920EFB"/>
    <w:rsid w:val="0092566D"/>
    <w:rsid w:val="0093318C"/>
    <w:rsid w:val="009356FF"/>
    <w:rsid w:val="00941FC5"/>
    <w:rsid w:val="00942F12"/>
    <w:rsid w:val="009449AE"/>
    <w:rsid w:val="00945885"/>
    <w:rsid w:val="00950305"/>
    <w:rsid w:val="00960FF4"/>
    <w:rsid w:val="00962CD4"/>
    <w:rsid w:val="00966197"/>
    <w:rsid w:val="0097354E"/>
    <w:rsid w:val="009812C8"/>
    <w:rsid w:val="009815BA"/>
    <w:rsid w:val="00987CCB"/>
    <w:rsid w:val="00990228"/>
    <w:rsid w:val="009A581A"/>
    <w:rsid w:val="009A7D2F"/>
    <w:rsid w:val="009A7DE5"/>
    <w:rsid w:val="009B1017"/>
    <w:rsid w:val="009B4381"/>
    <w:rsid w:val="009B4A69"/>
    <w:rsid w:val="009C6541"/>
    <w:rsid w:val="009C6919"/>
    <w:rsid w:val="009D03F3"/>
    <w:rsid w:val="009D510E"/>
    <w:rsid w:val="009D5C3B"/>
    <w:rsid w:val="009E77BF"/>
    <w:rsid w:val="009F2E1F"/>
    <w:rsid w:val="00A00F25"/>
    <w:rsid w:val="00A01F70"/>
    <w:rsid w:val="00A06B10"/>
    <w:rsid w:val="00A13919"/>
    <w:rsid w:val="00A142F0"/>
    <w:rsid w:val="00A2356C"/>
    <w:rsid w:val="00A26477"/>
    <w:rsid w:val="00A5263F"/>
    <w:rsid w:val="00A612A4"/>
    <w:rsid w:val="00A63428"/>
    <w:rsid w:val="00A63981"/>
    <w:rsid w:val="00A72244"/>
    <w:rsid w:val="00A72AB9"/>
    <w:rsid w:val="00A76FF2"/>
    <w:rsid w:val="00A80B58"/>
    <w:rsid w:val="00A875B6"/>
    <w:rsid w:val="00A900AF"/>
    <w:rsid w:val="00A91344"/>
    <w:rsid w:val="00A9173B"/>
    <w:rsid w:val="00A96EDC"/>
    <w:rsid w:val="00AA73B2"/>
    <w:rsid w:val="00AB2E66"/>
    <w:rsid w:val="00AC523C"/>
    <w:rsid w:val="00AD7636"/>
    <w:rsid w:val="00AE16FE"/>
    <w:rsid w:val="00AE3449"/>
    <w:rsid w:val="00AE744D"/>
    <w:rsid w:val="00AF24EB"/>
    <w:rsid w:val="00AF519B"/>
    <w:rsid w:val="00B0380D"/>
    <w:rsid w:val="00B0436C"/>
    <w:rsid w:val="00B04AC7"/>
    <w:rsid w:val="00B10286"/>
    <w:rsid w:val="00B1346F"/>
    <w:rsid w:val="00B1435F"/>
    <w:rsid w:val="00B14653"/>
    <w:rsid w:val="00B16A82"/>
    <w:rsid w:val="00B2339C"/>
    <w:rsid w:val="00B266B7"/>
    <w:rsid w:val="00B26841"/>
    <w:rsid w:val="00B318E2"/>
    <w:rsid w:val="00B3486C"/>
    <w:rsid w:val="00B374FE"/>
    <w:rsid w:val="00B43804"/>
    <w:rsid w:val="00B4435B"/>
    <w:rsid w:val="00B45D60"/>
    <w:rsid w:val="00B53DAF"/>
    <w:rsid w:val="00B62990"/>
    <w:rsid w:val="00B66D36"/>
    <w:rsid w:val="00B82548"/>
    <w:rsid w:val="00B923DB"/>
    <w:rsid w:val="00B93281"/>
    <w:rsid w:val="00B954D2"/>
    <w:rsid w:val="00BA45A9"/>
    <w:rsid w:val="00BB12F9"/>
    <w:rsid w:val="00BB4BE2"/>
    <w:rsid w:val="00BB7731"/>
    <w:rsid w:val="00BC0460"/>
    <w:rsid w:val="00BC0823"/>
    <w:rsid w:val="00BC2DCA"/>
    <w:rsid w:val="00BD365B"/>
    <w:rsid w:val="00BD4DFF"/>
    <w:rsid w:val="00BD6B2C"/>
    <w:rsid w:val="00BF185D"/>
    <w:rsid w:val="00C01409"/>
    <w:rsid w:val="00C11F7E"/>
    <w:rsid w:val="00C17A24"/>
    <w:rsid w:val="00C20F39"/>
    <w:rsid w:val="00C21784"/>
    <w:rsid w:val="00C2467C"/>
    <w:rsid w:val="00C24690"/>
    <w:rsid w:val="00C249F4"/>
    <w:rsid w:val="00C25BBF"/>
    <w:rsid w:val="00C25C00"/>
    <w:rsid w:val="00C32EC9"/>
    <w:rsid w:val="00C37DBE"/>
    <w:rsid w:val="00C412E1"/>
    <w:rsid w:val="00C42BFC"/>
    <w:rsid w:val="00C42E06"/>
    <w:rsid w:val="00C44A1E"/>
    <w:rsid w:val="00C50C81"/>
    <w:rsid w:val="00C51007"/>
    <w:rsid w:val="00C51FB9"/>
    <w:rsid w:val="00C604C4"/>
    <w:rsid w:val="00C608A5"/>
    <w:rsid w:val="00C60F4F"/>
    <w:rsid w:val="00C6214C"/>
    <w:rsid w:val="00C706E0"/>
    <w:rsid w:val="00C73918"/>
    <w:rsid w:val="00C904A8"/>
    <w:rsid w:val="00C90C7B"/>
    <w:rsid w:val="00C90DB0"/>
    <w:rsid w:val="00C93AD9"/>
    <w:rsid w:val="00C96045"/>
    <w:rsid w:val="00C96FED"/>
    <w:rsid w:val="00C9707D"/>
    <w:rsid w:val="00C97D66"/>
    <w:rsid w:val="00CA0EAF"/>
    <w:rsid w:val="00CA132B"/>
    <w:rsid w:val="00CA34DB"/>
    <w:rsid w:val="00CA770C"/>
    <w:rsid w:val="00CB0A20"/>
    <w:rsid w:val="00CB7793"/>
    <w:rsid w:val="00CB7EB2"/>
    <w:rsid w:val="00CC2757"/>
    <w:rsid w:val="00CC474A"/>
    <w:rsid w:val="00CD5BFD"/>
    <w:rsid w:val="00CD7721"/>
    <w:rsid w:val="00CE1B47"/>
    <w:rsid w:val="00CE3596"/>
    <w:rsid w:val="00CE387C"/>
    <w:rsid w:val="00CE55B8"/>
    <w:rsid w:val="00CF1225"/>
    <w:rsid w:val="00CF4841"/>
    <w:rsid w:val="00CF66D4"/>
    <w:rsid w:val="00CF77E7"/>
    <w:rsid w:val="00D047FC"/>
    <w:rsid w:val="00D078B6"/>
    <w:rsid w:val="00D12851"/>
    <w:rsid w:val="00D14DD8"/>
    <w:rsid w:val="00D1570F"/>
    <w:rsid w:val="00D2799C"/>
    <w:rsid w:val="00D34E2C"/>
    <w:rsid w:val="00D35263"/>
    <w:rsid w:val="00D36AC3"/>
    <w:rsid w:val="00D40D8D"/>
    <w:rsid w:val="00D55B69"/>
    <w:rsid w:val="00D56F3F"/>
    <w:rsid w:val="00D571E5"/>
    <w:rsid w:val="00D67CB4"/>
    <w:rsid w:val="00D70262"/>
    <w:rsid w:val="00D72D6F"/>
    <w:rsid w:val="00D83D4E"/>
    <w:rsid w:val="00D90843"/>
    <w:rsid w:val="00D925F9"/>
    <w:rsid w:val="00D926B0"/>
    <w:rsid w:val="00DA5FF8"/>
    <w:rsid w:val="00DA7D7A"/>
    <w:rsid w:val="00DB4177"/>
    <w:rsid w:val="00DB7BB8"/>
    <w:rsid w:val="00DC1112"/>
    <w:rsid w:val="00DC4000"/>
    <w:rsid w:val="00DC4F14"/>
    <w:rsid w:val="00DC7C3D"/>
    <w:rsid w:val="00DD1104"/>
    <w:rsid w:val="00DD2E1A"/>
    <w:rsid w:val="00DD4081"/>
    <w:rsid w:val="00DD4089"/>
    <w:rsid w:val="00DD50A7"/>
    <w:rsid w:val="00DE326C"/>
    <w:rsid w:val="00DE39FF"/>
    <w:rsid w:val="00DE4B99"/>
    <w:rsid w:val="00DF4126"/>
    <w:rsid w:val="00DF4693"/>
    <w:rsid w:val="00DF51DB"/>
    <w:rsid w:val="00E01678"/>
    <w:rsid w:val="00E0272F"/>
    <w:rsid w:val="00E0624B"/>
    <w:rsid w:val="00E179D8"/>
    <w:rsid w:val="00E27AF7"/>
    <w:rsid w:val="00E3088A"/>
    <w:rsid w:val="00E30D2E"/>
    <w:rsid w:val="00E32516"/>
    <w:rsid w:val="00E33343"/>
    <w:rsid w:val="00E34822"/>
    <w:rsid w:val="00E42427"/>
    <w:rsid w:val="00E45A1B"/>
    <w:rsid w:val="00E47137"/>
    <w:rsid w:val="00E555F1"/>
    <w:rsid w:val="00E6033F"/>
    <w:rsid w:val="00E61360"/>
    <w:rsid w:val="00E70677"/>
    <w:rsid w:val="00E70BC7"/>
    <w:rsid w:val="00E70CC5"/>
    <w:rsid w:val="00E71AA0"/>
    <w:rsid w:val="00E71CDD"/>
    <w:rsid w:val="00E76169"/>
    <w:rsid w:val="00E81344"/>
    <w:rsid w:val="00E841EA"/>
    <w:rsid w:val="00E87987"/>
    <w:rsid w:val="00E94F5F"/>
    <w:rsid w:val="00E954FF"/>
    <w:rsid w:val="00EA2BE7"/>
    <w:rsid w:val="00EB1AAF"/>
    <w:rsid w:val="00ED5A48"/>
    <w:rsid w:val="00ED6EF6"/>
    <w:rsid w:val="00ED7A69"/>
    <w:rsid w:val="00EE1CC6"/>
    <w:rsid w:val="00EF01DC"/>
    <w:rsid w:val="00EF2CC1"/>
    <w:rsid w:val="00F00607"/>
    <w:rsid w:val="00F0310A"/>
    <w:rsid w:val="00F03B79"/>
    <w:rsid w:val="00F062B9"/>
    <w:rsid w:val="00F0747F"/>
    <w:rsid w:val="00F0780A"/>
    <w:rsid w:val="00F16120"/>
    <w:rsid w:val="00F22FCA"/>
    <w:rsid w:val="00F2770A"/>
    <w:rsid w:val="00F32E93"/>
    <w:rsid w:val="00F330C6"/>
    <w:rsid w:val="00F3567C"/>
    <w:rsid w:val="00F379E6"/>
    <w:rsid w:val="00F411EB"/>
    <w:rsid w:val="00F45285"/>
    <w:rsid w:val="00F61AFD"/>
    <w:rsid w:val="00F624FF"/>
    <w:rsid w:val="00F629C8"/>
    <w:rsid w:val="00F647A1"/>
    <w:rsid w:val="00F656CB"/>
    <w:rsid w:val="00F66E17"/>
    <w:rsid w:val="00F70863"/>
    <w:rsid w:val="00F7475B"/>
    <w:rsid w:val="00F77EBC"/>
    <w:rsid w:val="00F83557"/>
    <w:rsid w:val="00F8399C"/>
    <w:rsid w:val="00F91A35"/>
    <w:rsid w:val="00F928D5"/>
    <w:rsid w:val="00F96AA8"/>
    <w:rsid w:val="00FA01A1"/>
    <w:rsid w:val="00FA2083"/>
    <w:rsid w:val="00FB130F"/>
    <w:rsid w:val="00FB169B"/>
    <w:rsid w:val="00FC04B8"/>
    <w:rsid w:val="00FD1057"/>
    <w:rsid w:val="00FD181A"/>
    <w:rsid w:val="00FD4A82"/>
    <w:rsid w:val="00FD5265"/>
    <w:rsid w:val="00FD5268"/>
    <w:rsid w:val="00FD781F"/>
    <w:rsid w:val="00FE02C3"/>
    <w:rsid w:val="00FE07B2"/>
    <w:rsid w:val="00FE2715"/>
    <w:rsid w:val="00FF0C67"/>
    <w:rsid w:val="00FF603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colormru v:ext="edit" colors="#eaeaea,aqua,#ffb9b9"/>
      <o:colormenu v:ext="edit" fillcolor="#ffb9b9" strokecolor="none"/>
    </o:shapedefaults>
    <o:shapelayout v:ext="edit">
      <o:idmap v:ext="edit" data="1"/>
      <o:regrouptable v:ext="edit">
        <o:entry new="1" old="0"/>
        <o:entry new="2" old="1"/>
        <o:entry new="3" old="1"/>
        <o:entry new="4" old="0"/>
        <o:entry new="5" old="0"/>
        <o:entry new="6" old="3"/>
        <o:entry new="7" old="5"/>
        <o:entry new="8" old="0"/>
        <o:entry new="9"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1A35"/>
    <w:rPr>
      <w:rFonts w:ascii="Arial" w:hAnsi="Arial"/>
      <w:sz w:val="22"/>
      <w:lang w:val="en-GB"/>
    </w:rPr>
  </w:style>
  <w:style w:type="paragraph" w:styleId="Heading1">
    <w:name w:val="heading 1"/>
    <w:basedOn w:val="Normal"/>
    <w:next w:val="Normal"/>
    <w:qFormat/>
    <w:rsid w:val="00203871"/>
    <w:pPr>
      <w:keepNext/>
      <w:jc w:val="center"/>
      <w:outlineLvl w:val="0"/>
    </w:pPr>
    <w:rPr>
      <w:b/>
      <w:sz w:val="36"/>
      <w:lang w:val="en-US"/>
    </w:rPr>
  </w:style>
  <w:style w:type="paragraph" w:styleId="Heading2">
    <w:name w:val="heading 2"/>
    <w:basedOn w:val="Normal"/>
    <w:next w:val="Normal"/>
    <w:qFormat/>
    <w:rsid w:val="00203871"/>
    <w:pPr>
      <w:keepNext/>
      <w:jc w:val="center"/>
      <w:outlineLvl w:val="1"/>
    </w:pPr>
    <w:rPr>
      <w:b/>
      <w:sz w:val="24"/>
    </w:rPr>
  </w:style>
  <w:style w:type="paragraph" w:styleId="Heading3">
    <w:name w:val="heading 3"/>
    <w:basedOn w:val="Normal"/>
    <w:next w:val="Normal"/>
    <w:qFormat/>
    <w:rsid w:val="00203871"/>
    <w:pPr>
      <w:keepNext/>
      <w:ind w:left="-360"/>
      <w:outlineLvl w:val="2"/>
    </w:pPr>
    <w:rPr>
      <w:b/>
      <w:sz w:val="24"/>
    </w:rPr>
  </w:style>
  <w:style w:type="paragraph" w:styleId="Heading4">
    <w:name w:val="heading 4"/>
    <w:basedOn w:val="Normal"/>
    <w:next w:val="Normal"/>
    <w:qFormat/>
    <w:rsid w:val="00203871"/>
    <w:pPr>
      <w:keepNext/>
      <w:outlineLvl w:val="3"/>
    </w:pPr>
    <w:rPr>
      <w:i/>
      <w:sz w:val="20"/>
    </w:rPr>
  </w:style>
  <w:style w:type="paragraph" w:styleId="Heading5">
    <w:name w:val="heading 5"/>
    <w:basedOn w:val="Normal"/>
    <w:next w:val="Normal"/>
    <w:qFormat/>
    <w:rsid w:val="00203871"/>
    <w:pPr>
      <w:keepNext/>
      <w:outlineLvl w:val="4"/>
    </w:pPr>
    <w:rPr>
      <w:b/>
      <w:i/>
    </w:rPr>
  </w:style>
  <w:style w:type="paragraph" w:styleId="Heading6">
    <w:name w:val="heading 6"/>
    <w:basedOn w:val="Normal"/>
    <w:next w:val="Normal"/>
    <w:qFormat/>
    <w:rsid w:val="00203871"/>
    <w:pPr>
      <w:keepNext/>
      <w:outlineLvl w:val="5"/>
    </w:pPr>
    <w:rPr>
      <w:b/>
    </w:rPr>
  </w:style>
  <w:style w:type="paragraph" w:styleId="Heading7">
    <w:name w:val="heading 7"/>
    <w:basedOn w:val="Normal"/>
    <w:next w:val="Normal"/>
    <w:qFormat/>
    <w:rsid w:val="00203871"/>
    <w:pPr>
      <w:keepNext/>
      <w:tabs>
        <w:tab w:val="num" w:pos="900"/>
      </w:tabs>
      <w:ind w:left="540" w:right="-1067" w:firstLine="342"/>
      <w:outlineLvl w:val="6"/>
    </w:pPr>
    <w:rPr>
      <w:rFonts w:ascii="Tahoma" w:hAnsi="Tahoma"/>
      <w:i/>
      <w:lang w:val="en-US"/>
    </w:rPr>
  </w:style>
  <w:style w:type="paragraph" w:styleId="Heading8">
    <w:name w:val="heading 8"/>
    <w:basedOn w:val="Normal"/>
    <w:next w:val="Normal"/>
    <w:qFormat/>
    <w:rsid w:val="00203871"/>
    <w:pPr>
      <w:keepNext/>
      <w:outlineLvl w:val="7"/>
    </w:pPr>
    <w:rPr>
      <w:i/>
      <w:color w:val="000000"/>
    </w:rPr>
  </w:style>
  <w:style w:type="paragraph" w:styleId="Heading9">
    <w:name w:val="heading 9"/>
    <w:basedOn w:val="Normal"/>
    <w:next w:val="Normal"/>
    <w:qFormat/>
    <w:rsid w:val="00203871"/>
    <w:pPr>
      <w:keepNext/>
      <w:tabs>
        <w:tab w:val="left" w:pos="360"/>
      </w:tabs>
      <w:ind w:left="432" w:right="432" w:hanging="180"/>
      <w:jc w:val="both"/>
      <w:outlineLvl w:val="8"/>
    </w:pPr>
    <w:rPr>
      <w:rFonts w:ascii="Bookman Old Style" w:hAnsi="Bookman Old Style"/>
      <w:b/>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03871"/>
    <w:rPr>
      <w:color w:val="0000FF"/>
      <w:u w:val="single"/>
    </w:rPr>
  </w:style>
  <w:style w:type="paragraph" w:styleId="BodyText">
    <w:name w:val="Body Text"/>
    <w:basedOn w:val="Normal"/>
    <w:rsid w:val="00203871"/>
    <w:rPr>
      <w:sz w:val="24"/>
    </w:rPr>
  </w:style>
  <w:style w:type="paragraph" w:styleId="Header">
    <w:name w:val="header"/>
    <w:basedOn w:val="Normal"/>
    <w:rsid w:val="00203871"/>
    <w:pPr>
      <w:tabs>
        <w:tab w:val="center" w:pos="4153"/>
        <w:tab w:val="right" w:pos="8306"/>
      </w:tabs>
    </w:pPr>
  </w:style>
  <w:style w:type="paragraph" w:styleId="Footer">
    <w:name w:val="footer"/>
    <w:basedOn w:val="Normal"/>
    <w:link w:val="FooterChar"/>
    <w:uiPriority w:val="99"/>
    <w:rsid w:val="00203871"/>
    <w:pPr>
      <w:tabs>
        <w:tab w:val="center" w:pos="4153"/>
        <w:tab w:val="right" w:pos="8306"/>
      </w:tabs>
    </w:pPr>
  </w:style>
  <w:style w:type="paragraph" w:styleId="BlockText">
    <w:name w:val="Block Text"/>
    <w:basedOn w:val="Normal"/>
    <w:rsid w:val="00203871"/>
    <w:pPr>
      <w:ind w:left="270" w:right="225"/>
      <w:jc w:val="both"/>
    </w:pPr>
    <w:rPr>
      <w:rFonts w:ascii="Tahoma" w:hAnsi="Tahoma"/>
      <w:i/>
    </w:rPr>
  </w:style>
  <w:style w:type="paragraph" w:styleId="BodyText2">
    <w:name w:val="Body Text 2"/>
    <w:basedOn w:val="Normal"/>
    <w:rsid w:val="00203871"/>
    <w:pPr>
      <w:jc w:val="both"/>
    </w:pPr>
    <w:rPr>
      <w:rFonts w:ascii="Univers" w:hAnsi="Univers"/>
    </w:rPr>
  </w:style>
  <w:style w:type="paragraph" w:styleId="BodyText3">
    <w:name w:val="Body Text 3"/>
    <w:basedOn w:val="Normal"/>
    <w:rsid w:val="00203871"/>
    <w:pPr>
      <w:jc w:val="both"/>
    </w:pPr>
    <w:rPr>
      <w:b/>
      <w:color w:val="000000"/>
      <w:sz w:val="20"/>
    </w:rPr>
  </w:style>
  <w:style w:type="paragraph" w:styleId="BodyTextIndent">
    <w:name w:val="Body Text Indent"/>
    <w:basedOn w:val="Normal"/>
    <w:rsid w:val="00203871"/>
    <w:pPr>
      <w:ind w:left="702" w:hanging="360"/>
    </w:pPr>
    <w:rPr>
      <w:b/>
      <w:i/>
      <w:color w:val="000000"/>
    </w:rPr>
  </w:style>
  <w:style w:type="paragraph" w:styleId="BodyTextIndent2">
    <w:name w:val="Body Text Indent 2"/>
    <w:basedOn w:val="Normal"/>
    <w:rsid w:val="00292CBC"/>
    <w:pPr>
      <w:spacing w:after="120" w:line="480" w:lineRule="auto"/>
      <w:ind w:left="360"/>
    </w:pPr>
  </w:style>
  <w:style w:type="paragraph" w:styleId="Subtitle">
    <w:name w:val="Subtitle"/>
    <w:basedOn w:val="Normal"/>
    <w:qFormat/>
    <w:rsid w:val="003930BC"/>
    <w:rPr>
      <w:b/>
      <w:lang w:val="en-US"/>
    </w:rPr>
  </w:style>
  <w:style w:type="paragraph" w:styleId="BalloonText">
    <w:name w:val="Balloon Text"/>
    <w:basedOn w:val="Normal"/>
    <w:semiHidden/>
    <w:rsid w:val="00365E83"/>
    <w:rPr>
      <w:rFonts w:ascii="Tahoma" w:hAnsi="Tahoma" w:cs="Tahoma"/>
      <w:sz w:val="16"/>
      <w:szCs w:val="16"/>
    </w:rPr>
  </w:style>
  <w:style w:type="character" w:customStyle="1" w:styleId="FooterChar">
    <w:name w:val="Footer Char"/>
    <w:link w:val="Footer"/>
    <w:uiPriority w:val="99"/>
    <w:rsid w:val="001C4AE0"/>
    <w:rPr>
      <w:rFonts w:ascii="Arial" w:hAnsi="Arial"/>
      <w:sz w:val="22"/>
      <w:lang w:val="en-GB"/>
    </w:rPr>
  </w:style>
  <w:style w:type="paragraph" w:customStyle="1" w:styleId="a">
    <w:basedOn w:val="Normal"/>
    <w:rsid w:val="00960FF4"/>
    <w:pPr>
      <w:widowControl w:val="0"/>
      <w:adjustRightInd w:val="0"/>
      <w:spacing w:after="160" w:line="240" w:lineRule="exact"/>
      <w:textAlignment w:val="baseline"/>
    </w:pPr>
    <w:rPr>
      <w:rFonts w:ascii="Verdana" w:eastAsia="SimSun" w:hAnsi="Verdana"/>
      <w:sz w:val="24"/>
      <w:szCs w:val="24"/>
      <w:lang w:eastAsia="en-GB"/>
    </w:rPr>
  </w:style>
  <w:style w:type="paragraph" w:styleId="ListParagraph">
    <w:name w:val="List Paragraph"/>
    <w:basedOn w:val="Normal"/>
    <w:uiPriority w:val="34"/>
    <w:qFormat/>
    <w:rsid w:val="006E2F0B"/>
    <w:pPr>
      <w:spacing w:after="200" w:line="276" w:lineRule="auto"/>
      <w:ind w:left="720"/>
      <w:contextualSpacing/>
    </w:pPr>
    <w:rPr>
      <w:rFonts w:ascii="Calibri" w:eastAsia="SimSun" w:hAnsi="Calibri"/>
      <w:szCs w:val="22"/>
      <w:lang w:val="en-US" w:eastAsia="zh-CN"/>
    </w:rPr>
  </w:style>
  <w:style w:type="paragraph" w:customStyle="1" w:styleId="Char10">
    <w:name w:val="Char10"/>
    <w:basedOn w:val="Normal"/>
    <w:rsid w:val="00C42E06"/>
    <w:pPr>
      <w:widowControl w:val="0"/>
      <w:adjustRightInd w:val="0"/>
      <w:spacing w:after="160" w:line="240" w:lineRule="exact"/>
      <w:textAlignment w:val="baseline"/>
    </w:pPr>
    <w:rPr>
      <w:rFonts w:ascii="Verdana" w:eastAsia="SimSun" w:hAnsi="Verdana"/>
      <w:sz w:val="24"/>
      <w:szCs w:val="24"/>
      <w:lang w:eastAsia="en-GB"/>
    </w:rPr>
  </w:style>
  <w:style w:type="paragraph" w:styleId="NoSpacing">
    <w:name w:val="No Spacing"/>
    <w:link w:val="NoSpacingChar"/>
    <w:uiPriority w:val="1"/>
    <w:qFormat/>
    <w:rsid w:val="003F6F40"/>
    <w:rPr>
      <w:rFonts w:ascii="Calibri" w:hAnsi="Calibri"/>
      <w:sz w:val="22"/>
      <w:szCs w:val="22"/>
    </w:rPr>
  </w:style>
  <w:style w:type="character" w:customStyle="1" w:styleId="NoSpacingChar">
    <w:name w:val="No Spacing Char"/>
    <w:basedOn w:val="DefaultParagraphFont"/>
    <w:link w:val="NoSpacing"/>
    <w:uiPriority w:val="1"/>
    <w:rsid w:val="003F6F40"/>
    <w:rPr>
      <w:rFonts w:ascii="Calibri" w:hAnsi="Calibri"/>
      <w:sz w:val="22"/>
      <w:szCs w:val="22"/>
      <w:lang w:val="en-US" w:eastAsia="en-US" w:bidi="ar-SA"/>
    </w:rPr>
  </w:style>
  <w:style w:type="table" w:styleId="TableGrid">
    <w:name w:val="Table Grid"/>
    <w:basedOn w:val="TableNormal"/>
    <w:uiPriority w:val="39"/>
    <w:rsid w:val="00204A3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ColorfulList-Accent5">
    <w:name w:val="Colorful List Accent 5"/>
    <w:basedOn w:val="TableNormal"/>
    <w:uiPriority w:val="72"/>
    <w:rsid w:val="00086C2F"/>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Shading-Accent5">
    <w:name w:val="Colorful Shading Accent 5"/>
    <w:basedOn w:val="TableNormal"/>
    <w:uiPriority w:val="71"/>
    <w:rsid w:val="00086C2F"/>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s>
</file>

<file path=word/webSettings.xml><?xml version="1.0" encoding="utf-8"?>
<w:webSettings xmlns:r="http://schemas.openxmlformats.org/officeDocument/2006/relationships" xmlns:w="http://schemas.openxmlformats.org/wordprocessingml/2006/main">
  <w:divs>
    <w:div w:id="167360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318669-9351-426A-8595-8BCC82E3A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Pages>
  <Words>732</Words>
  <Characters>4178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The Inside Story Of The Annual Report: What Directors Must Know</vt:lpstr>
    </vt:vector>
  </TitlesOfParts>
  <Company>Bursatra</Company>
  <LinksUpToDate>false</LinksUpToDate>
  <CharactersWithSpaces>4901</CharactersWithSpaces>
  <SharedDoc>false</SharedDoc>
  <HLinks>
    <vt:vector size="6" baseType="variant">
      <vt:variant>
        <vt:i4>6815748</vt:i4>
      </vt:variant>
      <vt:variant>
        <vt:i4>3</vt:i4>
      </vt:variant>
      <vt:variant>
        <vt:i4>0</vt:i4>
      </vt:variant>
      <vt:variant>
        <vt:i4>5</vt:i4>
      </vt:variant>
      <vt:variant>
        <vt:lpwstr>mailto:mailmarshal@bursatra.com.my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Inside Story Of The Annual Report: What Directors Must Know</dc:title>
  <dc:subject>26th August 2015</dc:subject>
  <dc:creator>Azlan</dc:creator>
  <cp:keywords/>
  <cp:lastModifiedBy>hp</cp:lastModifiedBy>
  <cp:revision>16</cp:revision>
  <cp:lastPrinted>2017-01-11T16:34:00Z</cp:lastPrinted>
  <dcterms:created xsi:type="dcterms:W3CDTF">2015-11-16T19:03:00Z</dcterms:created>
  <dcterms:modified xsi:type="dcterms:W3CDTF">2017-01-11T16:35:00Z</dcterms:modified>
  <cp:category>CGBP</cp:category>
</cp:coreProperties>
</file>